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B9F1D" w14:textId="77777777" w:rsidR="00E773D4" w:rsidRDefault="00E773D4">
      <w:pPr>
        <w:pStyle w:val="Titel"/>
      </w:pPr>
      <w:bookmarkStart w:id="0" w:name="_GoBack"/>
      <w:bookmarkEnd w:id="0"/>
    </w:p>
    <w:p w14:paraId="4DBB9F1E" w14:textId="01315F58" w:rsidR="00E773D4" w:rsidRDefault="007F7CFE">
      <w:pPr>
        <w:pStyle w:val="Titel"/>
      </w:pPr>
      <w:r>
        <w:t xml:space="preserve">AKUT - </w:t>
      </w:r>
      <w:r w:rsidR="00E773D4">
        <w:t xml:space="preserve">Amtskommunernes og Kommunernes fond for </w:t>
      </w:r>
      <w:r w:rsidR="000B20E7">
        <w:t xml:space="preserve">Uddannelse </w:t>
      </w:r>
      <w:r w:rsidR="00E773D4">
        <w:t xml:space="preserve">af </w:t>
      </w:r>
    </w:p>
    <w:p w14:paraId="4DBB9F1F" w14:textId="77777777" w:rsidR="00E773D4" w:rsidRDefault="00E773D4">
      <w:pPr>
        <w:pStyle w:val="Titel"/>
      </w:pPr>
      <w:r>
        <w:t>Tillidsrepræsentanter m.fl.</w:t>
      </w:r>
    </w:p>
    <w:p w14:paraId="4DBB9F20" w14:textId="77777777" w:rsidR="00E773D4" w:rsidRDefault="00E773D4">
      <w:pPr>
        <w:pStyle w:val="Titel"/>
      </w:pPr>
    </w:p>
    <w:p w14:paraId="4DBB9F21" w14:textId="77777777" w:rsidR="00E773D4" w:rsidRDefault="00E773D4">
      <w:pPr>
        <w:pStyle w:val="Titel"/>
        <w:rPr>
          <w:b w:val="0"/>
          <w:sz w:val="24"/>
        </w:rPr>
      </w:pPr>
      <w:r>
        <w:rPr>
          <w:b w:val="0"/>
          <w:sz w:val="24"/>
        </w:rPr>
        <w:t xml:space="preserve">c/o KL, </w:t>
      </w:r>
      <w:proofErr w:type="spellStart"/>
      <w:r>
        <w:rPr>
          <w:b w:val="0"/>
          <w:sz w:val="24"/>
        </w:rPr>
        <w:t>Weidekampsgade</w:t>
      </w:r>
      <w:proofErr w:type="spellEnd"/>
      <w:r>
        <w:rPr>
          <w:b w:val="0"/>
          <w:sz w:val="24"/>
        </w:rPr>
        <w:t xml:space="preserve"> 10, 2300 København S</w:t>
      </w:r>
    </w:p>
    <w:p w14:paraId="4DBB9F22" w14:textId="77777777" w:rsidR="00E773D4" w:rsidRDefault="00E773D4">
      <w:pPr>
        <w:rPr>
          <w:b/>
          <w:sz w:val="24"/>
        </w:rPr>
      </w:pPr>
    </w:p>
    <w:p w14:paraId="4DBB9F23" w14:textId="77777777" w:rsidR="00E773D4" w:rsidRDefault="00E773D4">
      <w:pPr>
        <w:rPr>
          <w:b/>
          <w:sz w:val="24"/>
        </w:rPr>
      </w:pPr>
    </w:p>
    <w:p w14:paraId="4DBB9F24" w14:textId="77777777" w:rsidR="00E773D4" w:rsidRDefault="00E773D4">
      <w:pPr>
        <w:rPr>
          <w:b/>
          <w:sz w:val="24"/>
        </w:rPr>
      </w:pPr>
    </w:p>
    <w:p w14:paraId="4DBB9F25" w14:textId="77777777" w:rsidR="00E773D4" w:rsidRDefault="00E773D4">
      <w:pPr>
        <w:rPr>
          <w:b/>
          <w:sz w:val="24"/>
        </w:rPr>
      </w:pPr>
    </w:p>
    <w:p w14:paraId="4DBB9F26" w14:textId="77777777" w:rsidR="00E773D4" w:rsidRDefault="00E773D4">
      <w:pPr>
        <w:rPr>
          <w:b/>
          <w:sz w:val="24"/>
        </w:rPr>
      </w:pPr>
    </w:p>
    <w:p w14:paraId="4DBB9F27" w14:textId="77777777" w:rsidR="00E773D4" w:rsidRDefault="00E773D4">
      <w:pPr>
        <w:rPr>
          <w:b/>
          <w:sz w:val="24"/>
        </w:rPr>
      </w:pPr>
    </w:p>
    <w:p w14:paraId="4DBB9F28" w14:textId="77777777" w:rsidR="00E773D4" w:rsidRDefault="00E773D4">
      <w:pPr>
        <w:rPr>
          <w:b/>
          <w:sz w:val="24"/>
        </w:rPr>
      </w:pPr>
    </w:p>
    <w:p w14:paraId="4DBB9F29" w14:textId="77777777" w:rsidR="00E773D4" w:rsidRDefault="00E773D4">
      <w:pPr>
        <w:rPr>
          <w:b/>
          <w:sz w:val="24"/>
        </w:rPr>
      </w:pPr>
    </w:p>
    <w:p w14:paraId="4DBB9F2A" w14:textId="77777777" w:rsidR="00E773D4" w:rsidRDefault="00E773D4">
      <w:pPr>
        <w:rPr>
          <w:b/>
          <w:sz w:val="24"/>
        </w:rPr>
      </w:pPr>
    </w:p>
    <w:p w14:paraId="4DBB9F2B" w14:textId="77777777" w:rsidR="00E773D4" w:rsidRDefault="00E773D4">
      <w:pPr>
        <w:rPr>
          <w:b/>
          <w:sz w:val="24"/>
        </w:rPr>
      </w:pPr>
    </w:p>
    <w:p w14:paraId="4DBB9F2C" w14:textId="77777777" w:rsidR="00E773D4" w:rsidRDefault="00E773D4">
      <w:pPr>
        <w:rPr>
          <w:b/>
          <w:sz w:val="24"/>
        </w:rPr>
      </w:pPr>
    </w:p>
    <w:p w14:paraId="4DBB9F2D" w14:textId="77777777" w:rsidR="00E773D4" w:rsidRDefault="00E773D4">
      <w:pPr>
        <w:rPr>
          <w:b/>
          <w:sz w:val="24"/>
        </w:rPr>
      </w:pPr>
    </w:p>
    <w:p w14:paraId="4DBB9F2E" w14:textId="77777777" w:rsidR="00E773D4" w:rsidRDefault="00E773D4">
      <w:pPr>
        <w:rPr>
          <w:b/>
          <w:sz w:val="24"/>
        </w:rPr>
      </w:pPr>
    </w:p>
    <w:p w14:paraId="4DBB9F2F" w14:textId="77777777" w:rsidR="00E773D4" w:rsidRDefault="00E773D4">
      <w:pPr>
        <w:rPr>
          <w:b/>
          <w:sz w:val="24"/>
        </w:rPr>
      </w:pPr>
    </w:p>
    <w:p w14:paraId="4DBB9F30" w14:textId="77777777" w:rsidR="00E773D4" w:rsidRDefault="00E773D4">
      <w:pPr>
        <w:rPr>
          <w:b/>
          <w:sz w:val="24"/>
        </w:rPr>
      </w:pPr>
    </w:p>
    <w:p w14:paraId="4DBB9F31" w14:textId="77777777" w:rsidR="00E773D4" w:rsidRDefault="00E773D4">
      <w:pPr>
        <w:rPr>
          <w:b/>
          <w:sz w:val="24"/>
        </w:rPr>
      </w:pPr>
    </w:p>
    <w:p w14:paraId="4DBB9F32" w14:textId="77777777" w:rsidR="00E773D4" w:rsidRDefault="00E773D4">
      <w:pPr>
        <w:jc w:val="center"/>
        <w:rPr>
          <w:b/>
          <w:sz w:val="36"/>
        </w:rPr>
      </w:pPr>
      <w:r>
        <w:rPr>
          <w:b/>
          <w:sz w:val="36"/>
        </w:rPr>
        <w:t>Regnskabsskema til brug for</w:t>
      </w:r>
    </w:p>
    <w:p w14:paraId="4DBB9F33" w14:textId="77777777" w:rsidR="00E773D4" w:rsidRDefault="00E773D4">
      <w:pPr>
        <w:jc w:val="center"/>
        <w:rPr>
          <w:b/>
          <w:sz w:val="36"/>
        </w:rPr>
      </w:pPr>
      <w:r>
        <w:rPr>
          <w:b/>
          <w:sz w:val="36"/>
        </w:rPr>
        <w:t>personaleorganisationernes regnskabsaflæggelse</w:t>
      </w:r>
    </w:p>
    <w:p w14:paraId="4DBB9F34" w14:textId="22F3583A" w:rsidR="00E773D4" w:rsidRDefault="00E773D4">
      <w:pPr>
        <w:jc w:val="center"/>
        <w:rPr>
          <w:b/>
          <w:sz w:val="24"/>
        </w:rPr>
      </w:pPr>
      <w:r>
        <w:rPr>
          <w:b/>
          <w:sz w:val="36"/>
        </w:rPr>
        <w:t>vedrørende anvendte AKUT-midler</w:t>
      </w:r>
      <w:r w:rsidR="00BD74E5">
        <w:rPr>
          <w:b/>
          <w:sz w:val="36"/>
        </w:rPr>
        <w:t xml:space="preserve"> i 201</w:t>
      </w:r>
      <w:r w:rsidR="00A03D28">
        <w:rPr>
          <w:b/>
          <w:sz w:val="36"/>
        </w:rPr>
        <w:t>8</w:t>
      </w:r>
      <w:r>
        <w:rPr>
          <w:b/>
          <w:sz w:val="36"/>
        </w:rPr>
        <w:br w:type="page"/>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993"/>
        <w:gridCol w:w="992"/>
        <w:gridCol w:w="992"/>
        <w:gridCol w:w="1418"/>
        <w:gridCol w:w="1417"/>
      </w:tblGrid>
      <w:tr w:rsidR="00E773D4" w14:paraId="4DBB9F38" w14:textId="77777777" w:rsidTr="00E65632">
        <w:trPr>
          <w:cantSplit/>
        </w:trPr>
        <w:tc>
          <w:tcPr>
            <w:tcW w:w="9781" w:type="dxa"/>
            <w:gridSpan w:val="6"/>
            <w:tcBorders>
              <w:top w:val="single" w:sz="4" w:space="0" w:color="auto"/>
              <w:left w:val="single" w:sz="4" w:space="0" w:color="auto"/>
              <w:bottom w:val="single" w:sz="4" w:space="0" w:color="auto"/>
              <w:right w:val="single" w:sz="4" w:space="0" w:color="auto"/>
            </w:tcBorders>
          </w:tcPr>
          <w:p w14:paraId="4DBB9F35" w14:textId="77777777" w:rsidR="00E773D4" w:rsidRDefault="00E773D4">
            <w:pPr>
              <w:rPr>
                <w:b/>
                <w:sz w:val="24"/>
              </w:rPr>
            </w:pPr>
          </w:p>
          <w:p w14:paraId="4DBB9F36" w14:textId="77777777" w:rsidR="00E773D4" w:rsidRDefault="00E773D4">
            <w:pPr>
              <w:rPr>
                <w:b/>
                <w:sz w:val="24"/>
              </w:rPr>
            </w:pPr>
            <w:r>
              <w:rPr>
                <w:b/>
                <w:sz w:val="24"/>
              </w:rPr>
              <w:t>Personaleorganisation:</w:t>
            </w:r>
          </w:p>
          <w:p w14:paraId="4DBB9F37" w14:textId="77777777" w:rsidR="00E773D4" w:rsidRDefault="00E773D4">
            <w:pPr>
              <w:rPr>
                <w:b/>
                <w:sz w:val="24"/>
              </w:rPr>
            </w:pPr>
          </w:p>
        </w:tc>
      </w:tr>
      <w:tr w:rsidR="00E773D4" w14:paraId="4DBB9F3D" w14:textId="77777777" w:rsidTr="00E65632">
        <w:trPr>
          <w:cantSplit/>
        </w:trPr>
        <w:tc>
          <w:tcPr>
            <w:tcW w:w="6946" w:type="dxa"/>
            <w:gridSpan w:val="4"/>
            <w:tcBorders>
              <w:top w:val="nil"/>
              <w:left w:val="nil"/>
              <w:bottom w:val="nil"/>
              <w:right w:val="nil"/>
            </w:tcBorders>
          </w:tcPr>
          <w:p w14:paraId="4DBB9F39" w14:textId="77777777" w:rsidR="00E773D4" w:rsidRDefault="00E773D4">
            <w:pPr>
              <w:rPr>
                <w:b/>
                <w:sz w:val="24"/>
              </w:rPr>
            </w:pPr>
          </w:p>
          <w:p w14:paraId="4DBB9F3A" w14:textId="77777777" w:rsidR="00E773D4" w:rsidRDefault="00E773D4">
            <w:pPr>
              <w:rPr>
                <w:b/>
                <w:sz w:val="24"/>
              </w:rPr>
            </w:pPr>
          </w:p>
        </w:tc>
        <w:tc>
          <w:tcPr>
            <w:tcW w:w="1418" w:type="dxa"/>
            <w:tcBorders>
              <w:top w:val="nil"/>
              <w:left w:val="nil"/>
              <w:bottom w:val="nil"/>
              <w:right w:val="nil"/>
            </w:tcBorders>
          </w:tcPr>
          <w:p w14:paraId="4DBB9F3B" w14:textId="77777777" w:rsidR="00E773D4" w:rsidRDefault="00E773D4">
            <w:pPr>
              <w:jc w:val="center"/>
              <w:rPr>
                <w:b/>
                <w:sz w:val="24"/>
              </w:rPr>
            </w:pPr>
          </w:p>
        </w:tc>
        <w:tc>
          <w:tcPr>
            <w:tcW w:w="1417" w:type="dxa"/>
            <w:tcBorders>
              <w:top w:val="nil"/>
              <w:left w:val="nil"/>
              <w:bottom w:val="nil"/>
              <w:right w:val="nil"/>
            </w:tcBorders>
          </w:tcPr>
          <w:p w14:paraId="4DBB9F3C" w14:textId="77777777" w:rsidR="00E773D4" w:rsidRDefault="00E773D4">
            <w:pPr>
              <w:jc w:val="center"/>
              <w:rPr>
                <w:b/>
                <w:sz w:val="24"/>
              </w:rPr>
            </w:pPr>
          </w:p>
        </w:tc>
      </w:tr>
      <w:tr w:rsidR="00E773D4" w14:paraId="4DBB9F46" w14:textId="77777777" w:rsidTr="00E65632">
        <w:trPr>
          <w:cantSplit/>
        </w:trPr>
        <w:tc>
          <w:tcPr>
            <w:tcW w:w="6946" w:type="dxa"/>
            <w:gridSpan w:val="4"/>
            <w:tcBorders>
              <w:top w:val="single" w:sz="4" w:space="0" w:color="auto"/>
              <w:left w:val="single" w:sz="4" w:space="0" w:color="auto"/>
              <w:bottom w:val="nil"/>
              <w:right w:val="single" w:sz="4" w:space="0" w:color="auto"/>
            </w:tcBorders>
          </w:tcPr>
          <w:p w14:paraId="4DBB9F3E" w14:textId="77777777" w:rsidR="00E773D4" w:rsidRDefault="00E773D4">
            <w:pPr>
              <w:rPr>
                <w:b/>
                <w:sz w:val="24"/>
              </w:rPr>
            </w:pPr>
          </w:p>
          <w:p w14:paraId="4DBB9F3F" w14:textId="77777777" w:rsidR="00E773D4" w:rsidRDefault="00E773D4">
            <w:pPr>
              <w:rPr>
                <w:b/>
                <w:sz w:val="24"/>
              </w:rPr>
            </w:pPr>
            <w:r>
              <w:rPr>
                <w:b/>
                <w:sz w:val="24"/>
              </w:rPr>
              <w:t xml:space="preserve">Regnskabsuddrag for året: </w:t>
            </w:r>
          </w:p>
          <w:p w14:paraId="4DBB9F40" w14:textId="77777777" w:rsidR="00E773D4" w:rsidRDefault="00E773D4">
            <w:pPr>
              <w:rPr>
                <w:b/>
                <w:sz w:val="24"/>
              </w:rPr>
            </w:pPr>
          </w:p>
        </w:tc>
        <w:tc>
          <w:tcPr>
            <w:tcW w:w="1418" w:type="dxa"/>
            <w:tcBorders>
              <w:top w:val="single" w:sz="4" w:space="0" w:color="auto"/>
              <w:left w:val="nil"/>
              <w:bottom w:val="single" w:sz="4" w:space="0" w:color="auto"/>
            </w:tcBorders>
          </w:tcPr>
          <w:p w14:paraId="4DBB9F41" w14:textId="77777777" w:rsidR="00E773D4" w:rsidRDefault="00E773D4">
            <w:pPr>
              <w:jc w:val="center"/>
              <w:rPr>
                <w:b/>
                <w:sz w:val="24"/>
              </w:rPr>
            </w:pPr>
          </w:p>
          <w:p w14:paraId="4DBB9F42" w14:textId="77777777" w:rsidR="00E773D4" w:rsidRDefault="00E773D4">
            <w:pPr>
              <w:jc w:val="center"/>
              <w:rPr>
                <w:b/>
                <w:sz w:val="24"/>
              </w:rPr>
            </w:pPr>
            <w:r>
              <w:rPr>
                <w:b/>
                <w:sz w:val="24"/>
              </w:rPr>
              <w:t>Udgifter</w:t>
            </w:r>
          </w:p>
          <w:p w14:paraId="4DBB9F43" w14:textId="77777777" w:rsidR="00FE376C" w:rsidRPr="00FE376C" w:rsidRDefault="00FE376C" w:rsidP="00FE376C">
            <w:pPr>
              <w:jc w:val="center"/>
              <w:rPr>
                <w:sz w:val="18"/>
                <w:szCs w:val="18"/>
              </w:rPr>
            </w:pPr>
          </w:p>
        </w:tc>
        <w:tc>
          <w:tcPr>
            <w:tcW w:w="1417" w:type="dxa"/>
            <w:tcBorders>
              <w:top w:val="single" w:sz="4" w:space="0" w:color="auto"/>
              <w:bottom w:val="nil"/>
              <w:right w:val="single" w:sz="4" w:space="0" w:color="auto"/>
            </w:tcBorders>
          </w:tcPr>
          <w:p w14:paraId="4DBB9F44" w14:textId="77777777" w:rsidR="00E773D4" w:rsidRDefault="00E773D4">
            <w:pPr>
              <w:jc w:val="center"/>
              <w:rPr>
                <w:b/>
                <w:sz w:val="24"/>
              </w:rPr>
            </w:pPr>
          </w:p>
          <w:p w14:paraId="4DBB9F45" w14:textId="77777777" w:rsidR="00E773D4" w:rsidRDefault="00E773D4">
            <w:pPr>
              <w:jc w:val="center"/>
              <w:rPr>
                <w:b/>
                <w:sz w:val="24"/>
              </w:rPr>
            </w:pPr>
            <w:r>
              <w:rPr>
                <w:b/>
                <w:sz w:val="24"/>
              </w:rPr>
              <w:t>Indtægter</w:t>
            </w:r>
          </w:p>
        </w:tc>
      </w:tr>
      <w:tr w:rsidR="00E773D4" w14:paraId="4DBB9F4C" w14:textId="77777777" w:rsidTr="00E65632">
        <w:trPr>
          <w:cantSplit/>
        </w:trPr>
        <w:tc>
          <w:tcPr>
            <w:tcW w:w="6946" w:type="dxa"/>
            <w:gridSpan w:val="4"/>
            <w:tcBorders>
              <w:top w:val="single" w:sz="4" w:space="0" w:color="auto"/>
              <w:left w:val="single" w:sz="4" w:space="0" w:color="auto"/>
              <w:bottom w:val="nil"/>
            </w:tcBorders>
          </w:tcPr>
          <w:p w14:paraId="4DBB9F47" w14:textId="77777777" w:rsidR="00E773D4" w:rsidRDefault="00E773D4">
            <w:pPr>
              <w:rPr>
                <w:sz w:val="24"/>
              </w:rPr>
            </w:pPr>
          </w:p>
          <w:p w14:paraId="4DBB9F48" w14:textId="77777777" w:rsidR="00E773D4" w:rsidRDefault="0065631E">
            <w:pPr>
              <w:rPr>
                <w:sz w:val="24"/>
              </w:rPr>
            </w:pPr>
            <w:r>
              <w:rPr>
                <w:b/>
                <w:sz w:val="24"/>
              </w:rPr>
              <w:t xml:space="preserve">A. </w:t>
            </w:r>
            <w:r w:rsidR="00E773D4" w:rsidRPr="00DD21D4">
              <w:rPr>
                <w:b/>
                <w:sz w:val="24"/>
              </w:rPr>
              <w:t>Årets tilskud</w:t>
            </w:r>
          </w:p>
          <w:p w14:paraId="4DBB9F49" w14:textId="77777777" w:rsidR="00E773D4" w:rsidRDefault="00E773D4">
            <w:pPr>
              <w:rPr>
                <w:sz w:val="24"/>
              </w:rPr>
            </w:pPr>
          </w:p>
        </w:tc>
        <w:tc>
          <w:tcPr>
            <w:tcW w:w="1418" w:type="dxa"/>
            <w:tcBorders>
              <w:top w:val="nil"/>
              <w:bottom w:val="nil"/>
            </w:tcBorders>
            <w:shd w:val="pct25" w:color="000000" w:fill="FFFFFF"/>
          </w:tcPr>
          <w:p w14:paraId="4DBB9F4A" w14:textId="77777777" w:rsidR="00E773D4" w:rsidRDefault="00E773D4">
            <w:pPr>
              <w:rPr>
                <w:sz w:val="24"/>
              </w:rPr>
            </w:pPr>
          </w:p>
        </w:tc>
        <w:tc>
          <w:tcPr>
            <w:tcW w:w="1417" w:type="dxa"/>
            <w:tcBorders>
              <w:top w:val="single" w:sz="4" w:space="0" w:color="auto"/>
              <w:bottom w:val="nil"/>
              <w:right w:val="single" w:sz="4" w:space="0" w:color="auto"/>
            </w:tcBorders>
          </w:tcPr>
          <w:p w14:paraId="4DBB9F4B" w14:textId="77777777" w:rsidR="00E773D4" w:rsidRDefault="00E773D4">
            <w:pPr>
              <w:rPr>
                <w:sz w:val="24"/>
              </w:rPr>
            </w:pPr>
          </w:p>
        </w:tc>
      </w:tr>
      <w:tr w:rsidR="00E773D4" w14:paraId="4DBB9F51" w14:textId="77777777" w:rsidTr="00E65632">
        <w:trPr>
          <w:cantSplit/>
        </w:trPr>
        <w:tc>
          <w:tcPr>
            <w:tcW w:w="6946" w:type="dxa"/>
            <w:gridSpan w:val="4"/>
            <w:tcBorders>
              <w:left w:val="single" w:sz="4" w:space="0" w:color="auto"/>
              <w:bottom w:val="nil"/>
            </w:tcBorders>
          </w:tcPr>
          <w:p w14:paraId="4DBB9F4D" w14:textId="77777777" w:rsidR="00E773D4" w:rsidRDefault="0065631E" w:rsidP="00357DE8">
            <w:pPr>
              <w:spacing w:before="120" w:after="120"/>
              <w:rPr>
                <w:sz w:val="24"/>
              </w:rPr>
            </w:pPr>
            <w:r>
              <w:rPr>
                <w:b/>
                <w:sz w:val="24"/>
              </w:rPr>
              <w:t xml:space="preserve">B. </w:t>
            </w:r>
            <w:r w:rsidR="00E773D4" w:rsidRPr="00DD21D4">
              <w:rPr>
                <w:b/>
                <w:sz w:val="24"/>
              </w:rPr>
              <w:t xml:space="preserve">Overført </w:t>
            </w:r>
            <w:r w:rsidR="007064B4" w:rsidRPr="00DD21D4">
              <w:rPr>
                <w:b/>
                <w:sz w:val="24"/>
              </w:rPr>
              <w:t>mer-/</w:t>
            </w:r>
            <w:proofErr w:type="spellStart"/>
            <w:r w:rsidR="007064B4" w:rsidRPr="00DD21D4">
              <w:rPr>
                <w:b/>
                <w:sz w:val="24"/>
              </w:rPr>
              <w:t>mindreforbrug</w:t>
            </w:r>
            <w:proofErr w:type="spellEnd"/>
            <w:r w:rsidR="007064B4" w:rsidRPr="00DD21D4">
              <w:rPr>
                <w:b/>
                <w:sz w:val="24"/>
              </w:rPr>
              <w:t xml:space="preserve"> </w:t>
            </w:r>
            <w:r w:rsidR="00E773D4" w:rsidRPr="00DD21D4">
              <w:rPr>
                <w:b/>
                <w:sz w:val="24"/>
              </w:rPr>
              <w:t>fra tidligere år</w:t>
            </w:r>
            <w:r w:rsidR="003001F3">
              <w:rPr>
                <w:sz w:val="24"/>
              </w:rPr>
              <w:t xml:space="preserve"> </w:t>
            </w:r>
            <w:r w:rsidR="00E773D4">
              <w:rPr>
                <w:sz w:val="24"/>
              </w:rPr>
              <w:t>(</w:t>
            </w:r>
            <w:r w:rsidR="003001F3">
              <w:rPr>
                <w:sz w:val="24"/>
              </w:rPr>
              <w:t>m</w:t>
            </w:r>
            <w:r w:rsidR="00FE5CFF">
              <w:rPr>
                <w:sz w:val="24"/>
              </w:rPr>
              <w:t xml:space="preserve">erforbrug </w:t>
            </w:r>
            <w:r w:rsidR="00E773D4">
              <w:rPr>
                <w:sz w:val="24"/>
              </w:rPr>
              <w:t xml:space="preserve">ifølge </w:t>
            </w:r>
            <w:r w:rsidR="00AA1D24">
              <w:rPr>
                <w:sz w:val="24"/>
              </w:rPr>
              <w:t>regnskab</w:t>
            </w:r>
            <w:r>
              <w:rPr>
                <w:sz w:val="24"/>
              </w:rPr>
              <w:t xml:space="preserve"> fra </w:t>
            </w:r>
            <w:r w:rsidR="00AA1D24">
              <w:rPr>
                <w:sz w:val="24"/>
              </w:rPr>
              <w:t>tidligere</w:t>
            </w:r>
            <w:r>
              <w:rPr>
                <w:sz w:val="24"/>
              </w:rPr>
              <w:t xml:space="preserve"> år</w:t>
            </w:r>
            <w:r w:rsidR="003001F3">
              <w:rPr>
                <w:sz w:val="24"/>
              </w:rPr>
              <w:t xml:space="preserve"> anføres under udgifter mens </w:t>
            </w:r>
            <w:proofErr w:type="spellStart"/>
            <w:r w:rsidR="003001F3">
              <w:rPr>
                <w:sz w:val="24"/>
              </w:rPr>
              <w:t>m</w:t>
            </w:r>
            <w:r w:rsidR="00FE5CFF">
              <w:rPr>
                <w:sz w:val="24"/>
              </w:rPr>
              <w:t>indreforbrug</w:t>
            </w:r>
            <w:proofErr w:type="spellEnd"/>
            <w:r w:rsidR="00FE5CFF">
              <w:rPr>
                <w:sz w:val="24"/>
              </w:rPr>
              <w:t xml:space="preserve"> ifølge regnskab fra tidligere år anføres under indtægter</w:t>
            </w:r>
            <w:r w:rsidR="00E773D4">
              <w:rPr>
                <w:sz w:val="24"/>
              </w:rPr>
              <w:t>)</w:t>
            </w:r>
          </w:p>
        </w:tc>
        <w:tc>
          <w:tcPr>
            <w:tcW w:w="1418" w:type="dxa"/>
            <w:tcBorders>
              <w:bottom w:val="nil"/>
            </w:tcBorders>
            <w:shd w:val="clear" w:color="auto" w:fill="FFFFFF"/>
          </w:tcPr>
          <w:p w14:paraId="4DBB9F4E" w14:textId="77777777" w:rsidR="00E773D4" w:rsidRDefault="00E773D4">
            <w:pPr>
              <w:rPr>
                <w:sz w:val="24"/>
              </w:rPr>
            </w:pPr>
          </w:p>
          <w:p w14:paraId="4DBB9F4F" w14:textId="77777777" w:rsidR="0065631E" w:rsidRDefault="0065631E">
            <w:pPr>
              <w:rPr>
                <w:sz w:val="24"/>
              </w:rPr>
            </w:pPr>
          </w:p>
        </w:tc>
        <w:tc>
          <w:tcPr>
            <w:tcW w:w="1417" w:type="dxa"/>
            <w:tcBorders>
              <w:bottom w:val="nil"/>
              <w:right w:val="single" w:sz="4" w:space="0" w:color="auto"/>
            </w:tcBorders>
          </w:tcPr>
          <w:p w14:paraId="4DBB9F50" w14:textId="77777777" w:rsidR="00E773D4" w:rsidRDefault="00E773D4">
            <w:pPr>
              <w:rPr>
                <w:sz w:val="24"/>
              </w:rPr>
            </w:pPr>
          </w:p>
        </w:tc>
      </w:tr>
      <w:tr w:rsidR="00E773D4" w14:paraId="4DBB9F55" w14:textId="77777777" w:rsidTr="00E65632">
        <w:trPr>
          <w:cantSplit/>
        </w:trPr>
        <w:tc>
          <w:tcPr>
            <w:tcW w:w="6946" w:type="dxa"/>
            <w:gridSpan w:val="4"/>
            <w:tcBorders>
              <w:top w:val="single" w:sz="4" w:space="0" w:color="auto"/>
              <w:left w:val="single" w:sz="4" w:space="0" w:color="auto"/>
              <w:bottom w:val="single" w:sz="4" w:space="0" w:color="auto"/>
            </w:tcBorders>
          </w:tcPr>
          <w:p w14:paraId="4DBB9F52" w14:textId="77777777" w:rsidR="00E773D4" w:rsidRDefault="0065631E" w:rsidP="00357DE8">
            <w:pPr>
              <w:spacing w:before="120" w:after="120"/>
              <w:rPr>
                <w:sz w:val="24"/>
              </w:rPr>
            </w:pPr>
            <w:r>
              <w:rPr>
                <w:b/>
                <w:sz w:val="24"/>
              </w:rPr>
              <w:t xml:space="preserve">C. </w:t>
            </w:r>
            <w:r w:rsidR="00E773D4" w:rsidRPr="00AA1D24">
              <w:rPr>
                <w:b/>
                <w:sz w:val="24"/>
              </w:rPr>
              <w:t>Til anvendelse i alt</w:t>
            </w:r>
            <w:r>
              <w:rPr>
                <w:b/>
                <w:sz w:val="24"/>
              </w:rPr>
              <w:t xml:space="preserve"> </w:t>
            </w:r>
            <w:r>
              <w:rPr>
                <w:sz w:val="24"/>
              </w:rPr>
              <w:t>(</w:t>
            </w:r>
            <w:r>
              <w:rPr>
                <w:b/>
                <w:sz w:val="24"/>
              </w:rPr>
              <w:t>A+B</w:t>
            </w:r>
            <w:r w:rsidR="00AA1D24">
              <w:rPr>
                <w:b/>
                <w:sz w:val="24"/>
              </w:rPr>
              <w:t xml:space="preserve"> </w:t>
            </w:r>
            <w:r w:rsidR="00AA1D24">
              <w:rPr>
                <w:sz w:val="24"/>
              </w:rPr>
              <w:t xml:space="preserve">(hvis </w:t>
            </w:r>
            <w:r w:rsidR="00AA1D24">
              <w:rPr>
                <w:b/>
                <w:sz w:val="24"/>
              </w:rPr>
              <w:t xml:space="preserve">B </w:t>
            </w:r>
            <w:r w:rsidR="00AA1D24">
              <w:rPr>
                <w:sz w:val="24"/>
              </w:rPr>
              <w:t>er indtægt)</w:t>
            </w:r>
            <w:r w:rsidR="00FE5CFF">
              <w:rPr>
                <w:sz w:val="24"/>
              </w:rPr>
              <w:t xml:space="preserve"> og</w:t>
            </w:r>
            <w:r w:rsidR="00AA1D24">
              <w:rPr>
                <w:sz w:val="24"/>
              </w:rPr>
              <w:t xml:space="preserve"> </w:t>
            </w:r>
            <w:r w:rsidR="00AA1D24">
              <w:rPr>
                <w:b/>
                <w:sz w:val="24"/>
              </w:rPr>
              <w:t>A-B</w:t>
            </w:r>
            <w:r w:rsidR="00AA1D24">
              <w:rPr>
                <w:sz w:val="24"/>
              </w:rPr>
              <w:t xml:space="preserve"> (hvis </w:t>
            </w:r>
            <w:r w:rsidR="00AA1D24">
              <w:rPr>
                <w:b/>
                <w:sz w:val="24"/>
              </w:rPr>
              <w:t>B</w:t>
            </w:r>
            <w:r w:rsidR="00AA1D24">
              <w:rPr>
                <w:sz w:val="24"/>
              </w:rPr>
              <w:t xml:space="preserve"> er udgift)</w:t>
            </w:r>
          </w:p>
        </w:tc>
        <w:tc>
          <w:tcPr>
            <w:tcW w:w="1418" w:type="dxa"/>
            <w:tcBorders>
              <w:top w:val="single" w:sz="4" w:space="0" w:color="auto"/>
              <w:bottom w:val="single" w:sz="4" w:space="0" w:color="auto"/>
            </w:tcBorders>
            <w:shd w:val="clear" w:color="auto" w:fill="BFBFBF"/>
          </w:tcPr>
          <w:p w14:paraId="4DBB9F53" w14:textId="77777777" w:rsidR="00E773D4" w:rsidRDefault="00E773D4">
            <w:pPr>
              <w:rPr>
                <w:sz w:val="24"/>
              </w:rPr>
            </w:pPr>
          </w:p>
        </w:tc>
        <w:tc>
          <w:tcPr>
            <w:tcW w:w="1417" w:type="dxa"/>
            <w:tcBorders>
              <w:top w:val="single" w:sz="4" w:space="0" w:color="auto"/>
              <w:bottom w:val="single" w:sz="4" w:space="0" w:color="auto"/>
              <w:right w:val="single" w:sz="4" w:space="0" w:color="auto"/>
            </w:tcBorders>
          </w:tcPr>
          <w:p w14:paraId="4DBB9F54" w14:textId="77777777" w:rsidR="00E773D4" w:rsidRDefault="00E773D4">
            <w:pPr>
              <w:rPr>
                <w:sz w:val="24"/>
              </w:rPr>
            </w:pPr>
          </w:p>
        </w:tc>
      </w:tr>
      <w:tr w:rsidR="00E773D4" w14:paraId="4DBB9F5D" w14:textId="77777777" w:rsidTr="00E65632">
        <w:tc>
          <w:tcPr>
            <w:tcW w:w="3969" w:type="dxa"/>
            <w:tcBorders>
              <w:top w:val="nil"/>
              <w:left w:val="nil"/>
              <w:bottom w:val="nil"/>
              <w:right w:val="nil"/>
            </w:tcBorders>
          </w:tcPr>
          <w:p w14:paraId="4DBB9F56" w14:textId="77777777" w:rsidR="00E773D4" w:rsidRDefault="00E773D4">
            <w:pPr>
              <w:rPr>
                <w:b/>
                <w:sz w:val="24"/>
              </w:rPr>
            </w:pPr>
          </w:p>
          <w:p w14:paraId="4DBB9F57" w14:textId="77777777" w:rsidR="00E773D4" w:rsidRDefault="00E773D4">
            <w:pPr>
              <w:rPr>
                <w:b/>
                <w:sz w:val="24"/>
              </w:rPr>
            </w:pPr>
          </w:p>
        </w:tc>
        <w:tc>
          <w:tcPr>
            <w:tcW w:w="993" w:type="dxa"/>
            <w:tcBorders>
              <w:top w:val="nil"/>
              <w:left w:val="nil"/>
              <w:bottom w:val="nil"/>
              <w:right w:val="nil"/>
            </w:tcBorders>
          </w:tcPr>
          <w:p w14:paraId="4DBB9F58" w14:textId="77777777" w:rsidR="00E773D4" w:rsidRDefault="00E773D4">
            <w:pPr>
              <w:rPr>
                <w:b/>
                <w:sz w:val="24"/>
              </w:rPr>
            </w:pPr>
          </w:p>
        </w:tc>
        <w:tc>
          <w:tcPr>
            <w:tcW w:w="992" w:type="dxa"/>
            <w:tcBorders>
              <w:top w:val="nil"/>
              <w:left w:val="nil"/>
              <w:bottom w:val="nil"/>
              <w:right w:val="nil"/>
            </w:tcBorders>
          </w:tcPr>
          <w:p w14:paraId="4DBB9F59" w14:textId="77777777" w:rsidR="00E773D4" w:rsidRDefault="00E773D4">
            <w:pPr>
              <w:rPr>
                <w:b/>
                <w:sz w:val="24"/>
              </w:rPr>
            </w:pPr>
          </w:p>
        </w:tc>
        <w:tc>
          <w:tcPr>
            <w:tcW w:w="992" w:type="dxa"/>
            <w:tcBorders>
              <w:top w:val="nil"/>
              <w:left w:val="nil"/>
              <w:bottom w:val="nil"/>
              <w:right w:val="nil"/>
            </w:tcBorders>
          </w:tcPr>
          <w:p w14:paraId="4DBB9F5A" w14:textId="77777777" w:rsidR="00E773D4" w:rsidRDefault="00E773D4">
            <w:pPr>
              <w:rPr>
                <w:b/>
                <w:sz w:val="24"/>
              </w:rPr>
            </w:pPr>
          </w:p>
        </w:tc>
        <w:tc>
          <w:tcPr>
            <w:tcW w:w="1418" w:type="dxa"/>
            <w:tcBorders>
              <w:top w:val="nil"/>
              <w:left w:val="nil"/>
              <w:bottom w:val="nil"/>
              <w:right w:val="nil"/>
            </w:tcBorders>
          </w:tcPr>
          <w:p w14:paraId="4DBB9F5B" w14:textId="77777777" w:rsidR="00E773D4" w:rsidRDefault="00E773D4">
            <w:pPr>
              <w:jc w:val="center"/>
              <w:rPr>
                <w:b/>
                <w:sz w:val="24"/>
              </w:rPr>
            </w:pPr>
          </w:p>
        </w:tc>
        <w:tc>
          <w:tcPr>
            <w:tcW w:w="1417" w:type="dxa"/>
            <w:tcBorders>
              <w:top w:val="nil"/>
              <w:left w:val="nil"/>
              <w:bottom w:val="nil"/>
              <w:right w:val="nil"/>
            </w:tcBorders>
          </w:tcPr>
          <w:p w14:paraId="4DBB9F5C" w14:textId="77777777" w:rsidR="00E773D4" w:rsidRDefault="00E773D4">
            <w:pPr>
              <w:jc w:val="center"/>
              <w:rPr>
                <w:b/>
                <w:sz w:val="24"/>
              </w:rPr>
            </w:pPr>
          </w:p>
        </w:tc>
      </w:tr>
      <w:tr w:rsidR="00E773D4" w14:paraId="4DBB9F65" w14:textId="77777777" w:rsidTr="00E65632">
        <w:tc>
          <w:tcPr>
            <w:tcW w:w="3969" w:type="dxa"/>
            <w:tcBorders>
              <w:top w:val="single" w:sz="4" w:space="0" w:color="auto"/>
              <w:left w:val="single" w:sz="4" w:space="0" w:color="auto"/>
              <w:bottom w:val="nil"/>
            </w:tcBorders>
          </w:tcPr>
          <w:p w14:paraId="4DBB9F5E" w14:textId="77777777" w:rsidR="00E773D4" w:rsidRDefault="00E773D4" w:rsidP="00357DE8">
            <w:pPr>
              <w:spacing w:before="120" w:after="120"/>
              <w:rPr>
                <w:b/>
                <w:sz w:val="24"/>
              </w:rPr>
            </w:pPr>
            <w:r>
              <w:rPr>
                <w:b/>
                <w:sz w:val="24"/>
              </w:rPr>
              <w:t>Udgifter anvendt til kursusaktivitet m.v.</w:t>
            </w:r>
          </w:p>
        </w:tc>
        <w:tc>
          <w:tcPr>
            <w:tcW w:w="993" w:type="dxa"/>
            <w:tcBorders>
              <w:top w:val="single" w:sz="4" w:space="0" w:color="auto"/>
              <w:bottom w:val="nil"/>
            </w:tcBorders>
          </w:tcPr>
          <w:p w14:paraId="4DBB9F5F" w14:textId="77777777" w:rsidR="00E773D4" w:rsidRDefault="00E773D4" w:rsidP="00357DE8">
            <w:pPr>
              <w:spacing w:before="120"/>
              <w:jc w:val="center"/>
              <w:rPr>
                <w:b/>
                <w:sz w:val="24"/>
              </w:rPr>
            </w:pPr>
            <w:r>
              <w:rPr>
                <w:b/>
                <w:sz w:val="24"/>
              </w:rPr>
              <w:t>Antal dage</w:t>
            </w:r>
          </w:p>
        </w:tc>
        <w:tc>
          <w:tcPr>
            <w:tcW w:w="992" w:type="dxa"/>
            <w:tcBorders>
              <w:top w:val="single" w:sz="4" w:space="0" w:color="auto"/>
              <w:bottom w:val="nil"/>
            </w:tcBorders>
          </w:tcPr>
          <w:p w14:paraId="4DBB9F60" w14:textId="77777777" w:rsidR="00E773D4" w:rsidRDefault="00E773D4" w:rsidP="00357DE8">
            <w:pPr>
              <w:spacing w:before="120"/>
              <w:jc w:val="center"/>
              <w:rPr>
                <w:b/>
                <w:sz w:val="24"/>
              </w:rPr>
            </w:pPr>
            <w:r>
              <w:rPr>
                <w:b/>
                <w:sz w:val="24"/>
              </w:rPr>
              <w:t>Antal person</w:t>
            </w:r>
          </w:p>
        </w:tc>
        <w:tc>
          <w:tcPr>
            <w:tcW w:w="992" w:type="dxa"/>
            <w:tcBorders>
              <w:top w:val="single" w:sz="4" w:space="0" w:color="auto"/>
              <w:bottom w:val="nil"/>
            </w:tcBorders>
          </w:tcPr>
          <w:p w14:paraId="4DBB9F61" w14:textId="77777777" w:rsidR="00E773D4" w:rsidRDefault="00E773D4" w:rsidP="00357DE8">
            <w:pPr>
              <w:spacing w:before="120"/>
              <w:jc w:val="center"/>
              <w:rPr>
                <w:b/>
                <w:sz w:val="24"/>
              </w:rPr>
            </w:pPr>
            <w:proofErr w:type="spellStart"/>
            <w:r>
              <w:rPr>
                <w:b/>
                <w:sz w:val="24"/>
              </w:rPr>
              <w:t>Genm</w:t>
            </w:r>
            <w:proofErr w:type="spellEnd"/>
            <w:r>
              <w:rPr>
                <w:b/>
                <w:sz w:val="24"/>
              </w:rPr>
              <w:t xml:space="preserve">. </w:t>
            </w:r>
            <w:r w:rsidR="0065631E">
              <w:rPr>
                <w:b/>
                <w:sz w:val="24"/>
              </w:rPr>
              <w:t>P</w:t>
            </w:r>
            <w:r>
              <w:rPr>
                <w:b/>
                <w:sz w:val="24"/>
              </w:rPr>
              <w:t>ris</w:t>
            </w:r>
          </w:p>
        </w:tc>
        <w:tc>
          <w:tcPr>
            <w:tcW w:w="1418" w:type="dxa"/>
            <w:tcBorders>
              <w:top w:val="single" w:sz="4" w:space="0" w:color="auto"/>
              <w:bottom w:val="nil"/>
            </w:tcBorders>
          </w:tcPr>
          <w:p w14:paraId="4DBB9F62" w14:textId="77777777" w:rsidR="00E773D4" w:rsidRDefault="00E773D4" w:rsidP="00357DE8">
            <w:pPr>
              <w:spacing w:before="120"/>
              <w:jc w:val="center"/>
              <w:rPr>
                <w:b/>
                <w:sz w:val="24"/>
              </w:rPr>
            </w:pPr>
            <w:r>
              <w:rPr>
                <w:b/>
                <w:sz w:val="24"/>
              </w:rPr>
              <w:t>Udgifter</w:t>
            </w:r>
          </w:p>
          <w:p w14:paraId="4DBB9F63" w14:textId="77777777" w:rsidR="00FE376C" w:rsidRDefault="00FE376C" w:rsidP="00357DE8">
            <w:pPr>
              <w:spacing w:before="120"/>
              <w:jc w:val="center"/>
              <w:rPr>
                <w:b/>
                <w:sz w:val="24"/>
              </w:rPr>
            </w:pPr>
          </w:p>
        </w:tc>
        <w:tc>
          <w:tcPr>
            <w:tcW w:w="1417" w:type="dxa"/>
            <w:tcBorders>
              <w:top w:val="single" w:sz="4" w:space="0" w:color="auto"/>
              <w:bottom w:val="nil"/>
              <w:right w:val="single" w:sz="4" w:space="0" w:color="auto"/>
            </w:tcBorders>
          </w:tcPr>
          <w:p w14:paraId="4DBB9F64" w14:textId="77777777" w:rsidR="00E773D4" w:rsidRDefault="00E773D4" w:rsidP="00357DE8">
            <w:pPr>
              <w:spacing w:before="120"/>
              <w:jc w:val="center"/>
              <w:rPr>
                <w:b/>
                <w:sz w:val="24"/>
              </w:rPr>
            </w:pPr>
            <w:r>
              <w:rPr>
                <w:b/>
                <w:sz w:val="24"/>
              </w:rPr>
              <w:t>Indtægter</w:t>
            </w:r>
          </w:p>
        </w:tc>
      </w:tr>
      <w:tr w:rsidR="00E773D4" w14:paraId="4DBB9F6D" w14:textId="77777777" w:rsidTr="00E65632">
        <w:tc>
          <w:tcPr>
            <w:tcW w:w="3969" w:type="dxa"/>
            <w:tcBorders>
              <w:top w:val="single" w:sz="4" w:space="0" w:color="auto"/>
              <w:left w:val="single" w:sz="4" w:space="0" w:color="auto"/>
            </w:tcBorders>
          </w:tcPr>
          <w:p w14:paraId="4DBB9F66" w14:textId="77777777" w:rsidR="001C0F81" w:rsidRDefault="0065631E" w:rsidP="00B17CA2">
            <w:pPr>
              <w:rPr>
                <w:sz w:val="22"/>
              </w:rPr>
            </w:pPr>
            <w:r>
              <w:rPr>
                <w:b/>
                <w:sz w:val="22"/>
              </w:rPr>
              <w:t xml:space="preserve">D. </w:t>
            </w:r>
            <w:r w:rsidR="00B17CA2">
              <w:rPr>
                <w:sz w:val="22"/>
              </w:rPr>
              <w:t>Deltagelse i de af personaleorganisationerne arrangerede tillidsrepræsentantkurser</w:t>
            </w:r>
          </w:p>
          <w:p w14:paraId="4DBB9F67" w14:textId="77777777" w:rsidR="00E773D4" w:rsidRDefault="00B17CA2" w:rsidP="00357DE8">
            <w:pPr>
              <w:spacing w:before="120"/>
              <w:rPr>
                <w:sz w:val="24"/>
              </w:rPr>
            </w:pPr>
            <w:r>
              <w:rPr>
                <w:sz w:val="22"/>
              </w:rPr>
              <w:t>(</w:t>
            </w:r>
            <w:r w:rsidR="00E85498">
              <w:rPr>
                <w:sz w:val="22"/>
              </w:rPr>
              <w:t xml:space="preserve">MED-rammeaftalens </w:t>
            </w:r>
            <w:r w:rsidR="00E773D4">
              <w:rPr>
                <w:sz w:val="22"/>
              </w:rPr>
              <w:t xml:space="preserve">§ </w:t>
            </w:r>
            <w:r w:rsidR="004803E1">
              <w:rPr>
                <w:sz w:val="22"/>
              </w:rPr>
              <w:t>15</w:t>
            </w:r>
            <w:r w:rsidR="00E773D4">
              <w:rPr>
                <w:sz w:val="22"/>
              </w:rPr>
              <w:t>, stk. 1, nr. 1</w:t>
            </w:r>
            <w:r w:rsidR="00E85498">
              <w:rPr>
                <w:sz w:val="22"/>
              </w:rPr>
              <w:t xml:space="preserve"> / T</w:t>
            </w:r>
            <w:r>
              <w:rPr>
                <w:sz w:val="22"/>
              </w:rPr>
              <w:t>R/SU-aftalens § 9, stk. 1, nr.</w:t>
            </w:r>
            <w:r w:rsidR="00E108CF">
              <w:rPr>
                <w:sz w:val="22"/>
              </w:rPr>
              <w:t xml:space="preserve"> 1</w:t>
            </w:r>
            <w:r w:rsidR="00E773D4">
              <w:rPr>
                <w:sz w:val="22"/>
              </w:rPr>
              <w:t>*)</w:t>
            </w:r>
          </w:p>
        </w:tc>
        <w:tc>
          <w:tcPr>
            <w:tcW w:w="993" w:type="dxa"/>
            <w:tcBorders>
              <w:top w:val="single" w:sz="4" w:space="0" w:color="auto"/>
            </w:tcBorders>
          </w:tcPr>
          <w:p w14:paraId="4DBB9F68" w14:textId="77777777" w:rsidR="00E773D4" w:rsidRDefault="00E773D4">
            <w:pPr>
              <w:rPr>
                <w:b/>
                <w:sz w:val="24"/>
              </w:rPr>
            </w:pPr>
          </w:p>
        </w:tc>
        <w:tc>
          <w:tcPr>
            <w:tcW w:w="992" w:type="dxa"/>
            <w:tcBorders>
              <w:top w:val="single" w:sz="4" w:space="0" w:color="auto"/>
            </w:tcBorders>
          </w:tcPr>
          <w:p w14:paraId="4DBB9F69" w14:textId="77777777" w:rsidR="00E773D4" w:rsidRDefault="00E773D4">
            <w:pPr>
              <w:rPr>
                <w:b/>
                <w:sz w:val="24"/>
              </w:rPr>
            </w:pPr>
          </w:p>
        </w:tc>
        <w:tc>
          <w:tcPr>
            <w:tcW w:w="992" w:type="dxa"/>
            <w:tcBorders>
              <w:top w:val="single" w:sz="4" w:space="0" w:color="auto"/>
            </w:tcBorders>
          </w:tcPr>
          <w:p w14:paraId="4DBB9F6A" w14:textId="77777777" w:rsidR="00E773D4" w:rsidRDefault="00E773D4">
            <w:pPr>
              <w:rPr>
                <w:b/>
                <w:sz w:val="24"/>
              </w:rPr>
            </w:pPr>
          </w:p>
        </w:tc>
        <w:tc>
          <w:tcPr>
            <w:tcW w:w="1418" w:type="dxa"/>
            <w:tcBorders>
              <w:top w:val="single" w:sz="4" w:space="0" w:color="auto"/>
            </w:tcBorders>
          </w:tcPr>
          <w:p w14:paraId="4DBB9F6B" w14:textId="77777777" w:rsidR="00E773D4" w:rsidRDefault="00E773D4">
            <w:pPr>
              <w:rPr>
                <w:b/>
                <w:sz w:val="24"/>
              </w:rPr>
            </w:pPr>
          </w:p>
        </w:tc>
        <w:tc>
          <w:tcPr>
            <w:tcW w:w="1417" w:type="dxa"/>
            <w:tcBorders>
              <w:top w:val="single" w:sz="4" w:space="0" w:color="auto"/>
              <w:right w:val="single" w:sz="4" w:space="0" w:color="auto"/>
            </w:tcBorders>
            <w:shd w:val="pct25" w:color="000000" w:fill="FFFFFF"/>
          </w:tcPr>
          <w:p w14:paraId="4DBB9F6C" w14:textId="77777777" w:rsidR="00E773D4" w:rsidRDefault="00E773D4">
            <w:pPr>
              <w:rPr>
                <w:b/>
                <w:sz w:val="24"/>
              </w:rPr>
            </w:pPr>
          </w:p>
        </w:tc>
      </w:tr>
      <w:tr w:rsidR="00E773D4" w14:paraId="4DBB9F75" w14:textId="77777777" w:rsidTr="00E65632">
        <w:tc>
          <w:tcPr>
            <w:tcW w:w="3969" w:type="dxa"/>
            <w:tcBorders>
              <w:left w:val="single" w:sz="4" w:space="0" w:color="auto"/>
            </w:tcBorders>
          </w:tcPr>
          <w:p w14:paraId="4DBB9F6E" w14:textId="77777777" w:rsidR="001C0F81" w:rsidRDefault="0065631E" w:rsidP="00B17CA2">
            <w:pPr>
              <w:rPr>
                <w:sz w:val="22"/>
              </w:rPr>
            </w:pPr>
            <w:r>
              <w:rPr>
                <w:b/>
                <w:sz w:val="22"/>
              </w:rPr>
              <w:t xml:space="preserve">E. </w:t>
            </w:r>
            <w:r w:rsidR="00B17CA2">
              <w:rPr>
                <w:sz w:val="22"/>
              </w:rPr>
              <w:t xml:space="preserve">Udøvelse af hverv, hvortil tillidsrepræsentanten er valgt inden for sin forhandlingsberettigede personaleorganisation </w:t>
            </w:r>
          </w:p>
          <w:p w14:paraId="4DBB9F6F" w14:textId="77777777" w:rsidR="00E773D4" w:rsidRDefault="00B17CA2" w:rsidP="00357DE8">
            <w:pPr>
              <w:spacing w:before="120"/>
              <w:rPr>
                <w:sz w:val="22"/>
              </w:rPr>
            </w:pPr>
            <w:r>
              <w:rPr>
                <w:sz w:val="22"/>
              </w:rPr>
              <w:t>(</w:t>
            </w:r>
            <w:r w:rsidR="00E85498">
              <w:rPr>
                <w:sz w:val="22"/>
              </w:rPr>
              <w:t xml:space="preserve">MED-rammeaftalens </w:t>
            </w:r>
            <w:r w:rsidR="00E773D4">
              <w:rPr>
                <w:sz w:val="22"/>
              </w:rPr>
              <w:t xml:space="preserve">§ </w:t>
            </w:r>
            <w:r w:rsidR="004803E1">
              <w:rPr>
                <w:sz w:val="22"/>
              </w:rPr>
              <w:t>15</w:t>
            </w:r>
            <w:r w:rsidR="00E773D4">
              <w:rPr>
                <w:sz w:val="22"/>
              </w:rPr>
              <w:t>, stk. 1, nr. 2</w:t>
            </w:r>
            <w:r w:rsidR="00E85498">
              <w:rPr>
                <w:sz w:val="22"/>
              </w:rPr>
              <w:t xml:space="preserve"> / TR/SU-aftalens § 9, stk. 1, nr. 2</w:t>
            </w:r>
            <w:r>
              <w:rPr>
                <w:sz w:val="22"/>
              </w:rPr>
              <w:t>)</w:t>
            </w:r>
          </w:p>
        </w:tc>
        <w:tc>
          <w:tcPr>
            <w:tcW w:w="993" w:type="dxa"/>
            <w:shd w:val="pct25" w:color="000000" w:fill="FFFFFF"/>
          </w:tcPr>
          <w:p w14:paraId="4DBB9F70" w14:textId="77777777" w:rsidR="00E773D4" w:rsidRDefault="00E773D4">
            <w:pPr>
              <w:rPr>
                <w:sz w:val="24"/>
              </w:rPr>
            </w:pPr>
          </w:p>
        </w:tc>
        <w:tc>
          <w:tcPr>
            <w:tcW w:w="992" w:type="dxa"/>
            <w:shd w:val="pct25" w:color="000000" w:fill="FFFFFF"/>
          </w:tcPr>
          <w:p w14:paraId="4DBB9F71" w14:textId="77777777" w:rsidR="00E773D4" w:rsidRDefault="00E773D4">
            <w:pPr>
              <w:rPr>
                <w:sz w:val="24"/>
              </w:rPr>
            </w:pPr>
          </w:p>
        </w:tc>
        <w:tc>
          <w:tcPr>
            <w:tcW w:w="992" w:type="dxa"/>
            <w:shd w:val="pct25" w:color="000000" w:fill="FFFFFF"/>
          </w:tcPr>
          <w:p w14:paraId="4DBB9F72" w14:textId="77777777" w:rsidR="00E773D4" w:rsidRDefault="00E773D4">
            <w:pPr>
              <w:rPr>
                <w:sz w:val="24"/>
              </w:rPr>
            </w:pPr>
          </w:p>
        </w:tc>
        <w:tc>
          <w:tcPr>
            <w:tcW w:w="1418" w:type="dxa"/>
          </w:tcPr>
          <w:p w14:paraId="4DBB9F73" w14:textId="77777777" w:rsidR="00E773D4" w:rsidRDefault="00E773D4">
            <w:pPr>
              <w:rPr>
                <w:sz w:val="24"/>
              </w:rPr>
            </w:pPr>
          </w:p>
        </w:tc>
        <w:tc>
          <w:tcPr>
            <w:tcW w:w="1417" w:type="dxa"/>
            <w:tcBorders>
              <w:right w:val="single" w:sz="4" w:space="0" w:color="auto"/>
            </w:tcBorders>
            <w:shd w:val="pct25" w:color="000000" w:fill="FFFFFF"/>
          </w:tcPr>
          <w:p w14:paraId="4DBB9F74" w14:textId="77777777" w:rsidR="00E773D4" w:rsidRDefault="00E773D4">
            <w:pPr>
              <w:rPr>
                <w:sz w:val="24"/>
              </w:rPr>
            </w:pPr>
          </w:p>
        </w:tc>
      </w:tr>
      <w:tr w:rsidR="00E773D4" w14:paraId="4DBB9F7D" w14:textId="77777777" w:rsidTr="00E65632">
        <w:tc>
          <w:tcPr>
            <w:tcW w:w="3969" w:type="dxa"/>
            <w:tcBorders>
              <w:left w:val="single" w:sz="4" w:space="0" w:color="auto"/>
              <w:bottom w:val="nil"/>
            </w:tcBorders>
          </w:tcPr>
          <w:p w14:paraId="4DBB9F76" w14:textId="77777777" w:rsidR="001C0F81" w:rsidRDefault="0065631E" w:rsidP="00B17CA2">
            <w:pPr>
              <w:rPr>
                <w:sz w:val="22"/>
              </w:rPr>
            </w:pPr>
            <w:r>
              <w:rPr>
                <w:b/>
                <w:sz w:val="22"/>
              </w:rPr>
              <w:t xml:space="preserve">F. </w:t>
            </w:r>
            <w:r w:rsidR="00B17CA2">
              <w:rPr>
                <w:sz w:val="22"/>
              </w:rPr>
              <w:t xml:space="preserve">Deltagelse i møder, som arrangeres af den forhandlingsberettigede personaleorganisation for de tillidsrepræsentanter, der er valgt i kommunerne hhv. i regionerne </w:t>
            </w:r>
          </w:p>
          <w:p w14:paraId="4DBB9F77" w14:textId="77777777" w:rsidR="00E773D4" w:rsidRDefault="00B17CA2" w:rsidP="00357DE8">
            <w:pPr>
              <w:spacing w:before="120"/>
              <w:rPr>
                <w:sz w:val="22"/>
              </w:rPr>
            </w:pPr>
            <w:r>
              <w:rPr>
                <w:sz w:val="22"/>
              </w:rPr>
              <w:t>(</w:t>
            </w:r>
            <w:r w:rsidR="00E85498">
              <w:rPr>
                <w:sz w:val="22"/>
              </w:rPr>
              <w:t xml:space="preserve">MED-rammeaftalens </w:t>
            </w:r>
            <w:r w:rsidR="00E773D4">
              <w:rPr>
                <w:sz w:val="22"/>
              </w:rPr>
              <w:t xml:space="preserve">§ </w:t>
            </w:r>
            <w:r w:rsidR="004803E1">
              <w:rPr>
                <w:sz w:val="22"/>
              </w:rPr>
              <w:t>15</w:t>
            </w:r>
            <w:r w:rsidR="00E773D4">
              <w:rPr>
                <w:sz w:val="22"/>
              </w:rPr>
              <w:t>, stk. 1, nr. 3</w:t>
            </w:r>
            <w:r w:rsidR="00E85498">
              <w:rPr>
                <w:sz w:val="22"/>
              </w:rPr>
              <w:t xml:space="preserve"> / TR</w:t>
            </w:r>
            <w:r>
              <w:rPr>
                <w:sz w:val="22"/>
              </w:rPr>
              <w:t xml:space="preserve"> </w:t>
            </w:r>
            <w:r w:rsidR="00E85498">
              <w:rPr>
                <w:sz w:val="22"/>
              </w:rPr>
              <w:t>/SU-aftalens § 9, stk. 1, nr. 3</w:t>
            </w:r>
            <w:r>
              <w:rPr>
                <w:sz w:val="22"/>
              </w:rPr>
              <w:t>)</w:t>
            </w:r>
          </w:p>
        </w:tc>
        <w:tc>
          <w:tcPr>
            <w:tcW w:w="993" w:type="dxa"/>
            <w:tcBorders>
              <w:bottom w:val="nil"/>
            </w:tcBorders>
            <w:shd w:val="pct25" w:color="000000" w:fill="FFFFFF"/>
          </w:tcPr>
          <w:p w14:paraId="4DBB9F78" w14:textId="77777777" w:rsidR="00E773D4" w:rsidRDefault="00E773D4">
            <w:pPr>
              <w:rPr>
                <w:sz w:val="24"/>
              </w:rPr>
            </w:pPr>
          </w:p>
        </w:tc>
        <w:tc>
          <w:tcPr>
            <w:tcW w:w="992" w:type="dxa"/>
            <w:tcBorders>
              <w:bottom w:val="nil"/>
            </w:tcBorders>
            <w:shd w:val="pct25" w:color="000000" w:fill="FFFFFF"/>
          </w:tcPr>
          <w:p w14:paraId="4DBB9F79" w14:textId="77777777" w:rsidR="00E773D4" w:rsidRDefault="00E773D4">
            <w:pPr>
              <w:rPr>
                <w:sz w:val="24"/>
              </w:rPr>
            </w:pPr>
          </w:p>
        </w:tc>
        <w:tc>
          <w:tcPr>
            <w:tcW w:w="992" w:type="dxa"/>
            <w:tcBorders>
              <w:bottom w:val="nil"/>
            </w:tcBorders>
            <w:shd w:val="pct25" w:color="000000" w:fill="FFFFFF"/>
          </w:tcPr>
          <w:p w14:paraId="4DBB9F7A" w14:textId="77777777" w:rsidR="00E773D4" w:rsidRDefault="00E773D4">
            <w:pPr>
              <w:rPr>
                <w:sz w:val="24"/>
              </w:rPr>
            </w:pPr>
          </w:p>
        </w:tc>
        <w:tc>
          <w:tcPr>
            <w:tcW w:w="1418" w:type="dxa"/>
            <w:tcBorders>
              <w:bottom w:val="nil"/>
            </w:tcBorders>
          </w:tcPr>
          <w:p w14:paraId="4DBB9F7B" w14:textId="77777777" w:rsidR="00E773D4" w:rsidRDefault="00E773D4">
            <w:pPr>
              <w:rPr>
                <w:sz w:val="24"/>
              </w:rPr>
            </w:pPr>
          </w:p>
        </w:tc>
        <w:tc>
          <w:tcPr>
            <w:tcW w:w="1417" w:type="dxa"/>
            <w:tcBorders>
              <w:bottom w:val="nil"/>
              <w:right w:val="single" w:sz="4" w:space="0" w:color="auto"/>
            </w:tcBorders>
            <w:shd w:val="pct25" w:color="000000" w:fill="FFFFFF"/>
          </w:tcPr>
          <w:p w14:paraId="4DBB9F7C" w14:textId="77777777" w:rsidR="00E773D4" w:rsidRDefault="00E773D4">
            <w:pPr>
              <w:rPr>
                <w:sz w:val="24"/>
              </w:rPr>
            </w:pPr>
          </w:p>
        </w:tc>
      </w:tr>
      <w:tr w:rsidR="00E773D4" w14:paraId="4DBB9F84" w14:textId="77777777" w:rsidTr="00E65632">
        <w:tc>
          <w:tcPr>
            <w:tcW w:w="3969" w:type="dxa"/>
            <w:tcBorders>
              <w:top w:val="single" w:sz="4" w:space="0" w:color="auto"/>
              <w:left w:val="single" w:sz="4" w:space="0" w:color="auto"/>
              <w:bottom w:val="nil"/>
            </w:tcBorders>
          </w:tcPr>
          <w:p w14:paraId="4DBB9F7E" w14:textId="77777777" w:rsidR="00E773D4" w:rsidRDefault="0065631E" w:rsidP="00357DE8">
            <w:pPr>
              <w:spacing w:before="240" w:after="240"/>
              <w:rPr>
                <w:b/>
                <w:sz w:val="24"/>
              </w:rPr>
            </w:pPr>
            <w:r>
              <w:rPr>
                <w:b/>
                <w:sz w:val="24"/>
              </w:rPr>
              <w:t xml:space="preserve">G. </w:t>
            </w:r>
            <w:r w:rsidR="00E773D4">
              <w:rPr>
                <w:b/>
                <w:sz w:val="24"/>
              </w:rPr>
              <w:t>I alt</w:t>
            </w:r>
            <w:r>
              <w:rPr>
                <w:b/>
                <w:sz w:val="24"/>
              </w:rPr>
              <w:t xml:space="preserve"> </w:t>
            </w:r>
            <w:r>
              <w:rPr>
                <w:sz w:val="24"/>
              </w:rPr>
              <w:t>(</w:t>
            </w:r>
            <w:r w:rsidR="00FE376C">
              <w:rPr>
                <w:b/>
                <w:sz w:val="24"/>
              </w:rPr>
              <w:t>D+E+F</w:t>
            </w:r>
            <w:r w:rsidR="00FE376C">
              <w:rPr>
                <w:sz w:val="24"/>
              </w:rPr>
              <w:t>)</w:t>
            </w:r>
          </w:p>
        </w:tc>
        <w:tc>
          <w:tcPr>
            <w:tcW w:w="993" w:type="dxa"/>
            <w:tcBorders>
              <w:top w:val="single" w:sz="4" w:space="0" w:color="auto"/>
              <w:bottom w:val="nil"/>
            </w:tcBorders>
            <w:shd w:val="pct25" w:color="000000" w:fill="FFFFFF"/>
          </w:tcPr>
          <w:p w14:paraId="4DBB9F7F" w14:textId="77777777" w:rsidR="00E773D4" w:rsidRDefault="00E773D4">
            <w:pPr>
              <w:rPr>
                <w:b/>
                <w:sz w:val="24"/>
              </w:rPr>
            </w:pPr>
          </w:p>
        </w:tc>
        <w:tc>
          <w:tcPr>
            <w:tcW w:w="992" w:type="dxa"/>
            <w:tcBorders>
              <w:top w:val="single" w:sz="4" w:space="0" w:color="auto"/>
              <w:bottom w:val="nil"/>
            </w:tcBorders>
            <w:shd w:val="pct25" w:color="000000" w:fill="FFFFFF"/>
          </w:tcPr>
          <w:p w14:paraId="4DBB9F80" w14:textId="77777777" w:rsidR="00E773D4" w:rsidRDefault="00E773D4">
            <w:pPr>
              <w:rPr>
                <w:b/>
                <w:sz w:val="24"/>
              </w:rPr>
            </w:pPr>
          </w:p>
        </w:tc>
        <w:tc>
          <w:tcPr>
            <w:tcW w:w="992" w:type="dxa"/>
            <w:tcBorders>
              <w:top w:val="single" w:sz="4" w:space="0" w:color="auto"/>
              <w:bottom w:val="nil"/>
            </w:tcBorders>
            <w:shd w:val="pct25" w:color="000000" w:fill="FFFFFF"/>
          </w:tcPr>
          <w:p w14:paraId="4DBB9F81" w14:textId="77777777" w:rsidR="00E773D4" w:rsidRDefault="00E773D4">
            <w:pPr>
              <w:rPr>
                <w:b/>
                <w:sz w:val="24"/>
              </w:rPr>
            </w:pPr>
          </w:p>
        </w:tc>
        <w:tc>
          <w:tcPr>
            <w:tcW w:w="1418" w:type="dxa"/>
            <w:tcBorders>
              <w:top w:val="single" w:sz="4" w:space="0" w:color="auto"/>
              <w:bottom w:val="nil"/>
            </w:tcBorders>
          </w:tcPr>
          <w:p w14:paraId="4DBB9F82" w14:textId="77777777" w:rsidR="00E773D4" w:rsidRDefault="00E773D4">
            <w:pPr>
              <w:rPr>
                <w:b/>
                <w:sz w:val="24"/>
              </w:rPr>
            </w:pPr>
          </w:p>
        </w:tc>
        <w:tc>
          <w:tcPr>
            <w:tcW w:w="1417" w:type="dxa"/>
            <w:tcBorders>
              <w:top w:val="single" w:sz="4" w:space="0" w:color="auto"/>
              <w:bottom w:val="nil"/>
              <w:right w:val="single" w:sz="4" w:space="0" w:color="auto"/>
            </w:tcBorders>
            <w:shd w:val="clear" w:color="auto" w:fill="BFBFBF"/>
          </w:tcPr>
          <w:p w14:paraId="4DBB9F83" w14:textId="77777777" w:rsidR="00E773D4" w:rsidRDefault="00E773D4">
            <w:pPr>
              <w:rPr>
                <w:b/>
                <w:sz w:val="24"/>
              </w:rPr>
            </w:pPr>
          </w:p>
        </w:tc>
      </w:tr>
      <w:tr w:rsidR="00E65632" w14:paraId="4DBB9F87" w14:textId="77777777" w:rsidTr="00E65632">
        <w:tc>
          <w:tcPr>
            <w:tcW w:w="9781" w:type="dxa"/>
            <w:gridSpan w:val="6"/>
            <w:tcBorders>
              <w:top w:val="single" w:sz="4" w:space="0" w:color="auto"/>
              <w:left w:val="single" w:sz="4" w:space="0" w:color="auto"/>
              <w:bottom w:val="single" w:sz="4" w:space="0" w:color="auto"/>
              <w:right w:val="single" w:sz="4" w:space="0" w:color="auto"/>
            </w:tcBorders>
          </w:tcPr>
          <w:p w14:paraId="4DBB9F85" w14:textId="77777777" w:rsidR="00E65632" w:rsidRDefault="00E65632">
            <w:pPr>
              <w:rPr>
                <w:sz w:val="24"/>
              </w:rPr>
            </w:pPr>
          </w:p>
          <w:p w14:paraId="4DBB9F86" w14:textId="77777777" w:rsidR="00E65632" w:rsidRDefault="00E65632">
            <w:pPr>
              <w:rPr>
                <w:sz w:val="24"/>
              </w:rPr>
            </w:pPr>
          </w:p>
        </w:tc>
      </w:tr>
      <w:tr w:rsidR="00E65632" w14:paraId="4DBB9F8A" w14:textId="77777777" w:rsidTr="00E65632">
        <w:tc>
          <w:tcPr>
            <w:tcW w:w="3969" w:type="dxa"/>
            <w:tcBorders>
              <w:top w:val="single" w:sz="4" w:space="0" w:color="auto"/>
              <w:left w:val="single" w:sz="4" w:space="0" w:color="auto"/>
              <w:bottom w:val="single" w:sz="4" w:space="0" w:color="auto"/>
            </w:tcBorders>
          </w:tcPr>
          <w:p w14:paraId="4DBB9F88" w14:textId="77777777" w:rsidR="00E65632" w:rsidRDefault="00E65632" w:rsidP="00357DE8">
            <w:pPr>
              <w:spacing w:before="120" w:after="120"/>
              <w:rPr>
                <w:sz w:val="24"/>
              </w:rPr>
            </w:pPr>
            <w:r w:rsidRPr="000678BE">
              <w:rPr>
                <w:b/>
                <w:sz w:val="24"/>
              </w:rPr>
              <w:t>Mer</w:t>
            </w:r>
            <w:r w:rsidR="000678BE">
              <w:rPr>
                <w:b/>
                <w:sz w:val="24"/>
              </w:rPr>
              <w:t>e</w:t>
            </w:r>
            <w:r w:rsidRPr="000678BE">
              <w:rPr>
                <w:b/>
                <w:sz w:val="24"/>
              </w:rPr>
              <w:t>-/</w:t>
            </w:r>
            <w:proofErr w:type="spellStart"/>
            <w:r w:rsidRPr="000678BE">
              <w:rPr>
                <w:b/>
                <w:sz w:val="24"/>
              </w:rPr>
              <w:t>mindreforbrug</w:t>
            </w:r>
            <w:proofErr w:type="spellEnd"/>
            <w:r w:rsidRPr="000678BE">
              <w:rPr>
                <w:b/>
                <w:sz w:val="24"/>
              </w:rPr>
              <w:t xml:space="preserve"> overført til næste år </w:t>
            </w:r>
            <w:r>
              <w:rPr>
                <w:sz w:val="24"/>
              </w:rPr>
              <w:t>(</w:t>
            </w:r>
            <w:r>
              <w:rPr>
                <w:b/>
                <w:sz w:val="24"/>
              </w:rPr>
              <w:t>C-G)</w:t>
            </w:r>
          </w:p>
        </w:tc>
        <w:tc>
          <w:tcPr>
            <w:tcW w:w="5812" w:type="dxa"/>
            <w:gridSpan w:val="5"/>
            <w:tcBorders>
              <w:top w:val="single" w:sz="4" w:space="0" w:color="auto"/>
              <w:bottom w:val="single" w:sz="4" w:space="0" w:color="auto"/>
              <w:right w:val="single" w:sz="4" w:space="0" w:color="auto"/>
            </w:tcBorders>
            <w:shd w:val="clear" w:color="auto" w:fill="auto"/>
          </w:tcPr>
          <w:p w14:paraId="4DBB9F89" w14:textId="77777777" w:rsidR="00E65632" w:rsidRDefault="00E65632">
            <w:pPr>
              <w:rPr>
                <w:sz w:val="24"/>
              </w:rPr>
            </w:pPr>
          </w:p>
        </w:tc>
      </w:tr>
    </w:tbl>
    <w:p w14:paraId="4DBB9F8B" w14:textId="77777777" w:rsidR="00E773D4" w:rsidRDefault="00E773D4">
      <w:pPr>
        <w:tabs>
          <w:tab w:val="left" w:pos="709"/>
        </w:tabs>
        <w:ind w:left="705" w:hanging="705"/>
        <w:rPr>
          <w:sz w:val="24"/>
        </w:rPr>
      </w:pPr>
    </w:p>
    <w:p w14:paraId="4DBB9F8C" w14:textId="0F68B1BA" w:rsidR="00E773D4" w:rsidRDefault="00E773D4">
      <w:pPr>
        <w:tabs>
          <w:tab w:val="left" w:pos="0"/>
        </w:tabs>
        <w:rPr>
          <w:sz w:val="24"/>
        </w:rPr>
      </w:pPr>
      <w:r>
        <w:rPr>
          <w:sz w:val="24"/>
        </w:rPr>
        <w:t xml:space="preserve">Refusion af løntab beregnes i henhold til Aftale om lønberegning/lønfradrag for månedslønnet personale indgået mellem de kommunale </w:t>
      </w:r>
      <w:r w:rsidR="004803E1">
        <w:rPr>
          <w:sz w:val="24"/>
        </w:rPr>
        <w:t xml:space="preserve">hhv. regionale </w:t>
      </w:r>
      <w:r>
        <w:rPr>
          <w:sz w:val="24"/>
        </w:rPr>
        <w:t xml:space="preserve">arbejdsgivere og </w:t>
      </w:r>
      <w:r w:rsidR="00A72635">
        <w:rPr>
          <w:sz w:val="24"/>
        </w:rPr>
        <w:t>Forhandlingsfællesskabet</w:t>
      </w:r>
      <w:r>
        <w:rPr>
          <w:sz w:val="24"/>
        </w:rPr>
        <w:t>. Desuden refunderes evt. rejse- og fortæringsudgifter.</w:t>
      </w:r>
    </w:p>
    <w:p w14:paraId="4DBB9F8D" w14:textId="77777777" w:rsidR="00E773D4" w:rsidRDefault="00E773D4">
      <w:pPr>
        <w:tabs>
          <w:tab w:val="left" w:pos="0"/>
        </w:tabs>
        <w:rPr>
          <w:sz w:val="24"/>
        </w:rPr>
      </w:pPr>
    </w:p>
    <w:p w14:paraId="4DBB9F8E" w14:textId="77777777" w:rsidR="00E773D4" w:rsidRDefault="00E773D4" w:rsidP="00357DE8">
      <w:pPr>
        <w:tabs>
          <w:tab w:val="left" w:pos="0"/>
        </w:tabs>
        <w:rPr>
          <w:sz w:val="24"/>
        </w:rPr>
      </w:pPr>
      <w:proofErr w:type="spellStart"/>
      <w:r>
        <w:rPr>
          <w:sz w:val="24"/>
        </w:rPr>
        <w:t>F.s.v.a</w:t>
      </w:r>
      <w:proofErr w:type="spellEnd"/>
      <w:r>
        <w:rPr>
          <w:sz w:val="24"/>
        </w:rPr>
        <w:t>. de med *) markerede aktiviteter (kurser) kan anføres et beregnet gennemsnit eller faktiske udgifter ligesom kursusrelaterede omkostninger kan medregnes.</w:t>
      </w:r>
      <w:r>
        <w:rPr>
          <w:sz w:val="24"/>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E773D4" w14:paraId="4DBB9F9A" w14:textId="77777777">
        <w:tc>
          <w:tcPr>
            <w:tcW w:w="9781" w:type="dxa"/>
          </w:tcPr>
          <w:p w14:paraId="4DBB9F8F" w14:textId="77777777" w:rsidR="00E773D4" w:rsidRDefault="00E773D4">
            <w:pPr>
              <w:tabs>
                <w:tab w:val="left" w:pos="709"/>
              </w:tabs>
              <w:rPr>
                <w:b/>
                <w:sz w:val="24"/>
              </w:rPr>
            </w:pPr>
            <w:r>
              <w:rPr>
                <w:b/>
                <w:sz w:val="24"/>
              </w:rPr>
              <w:lastRenderedPageBreak/>
              <w:t>Personaleorganisationens attestation:</w:t>
            </w:r>
          </w:p>
          <w:p w14:paraId="4DBB9F90" w14:textId="77777777" w:rsidR="00E773D4" w:rsidRDefault="00E773D4">
            <w:pPr>
              <w:tabs>
                <w:tab w:val="left" w:pos="709"/>
              </w:tabs>
              <w:rPr>
                <w:sz w:val="24"/>
              </w:rPr>
            </w:pPr>
          </w:p>
          <w:p w14:paraId="4DBB9F91" w14:textId="77777777" w:rsidR="00E773D4" w:rsidRDefault="00E773D4">
            <w:pPr>
              <w:tabs>
                <w:tab w:val="left" w:pos="709"/>
              </w:tabs>
              <w:rPr>
                <w:sz w:val="24"/>
              </w:rPr>
            </w:pPr>
          </w:p>
          <w:p w14:paraId="4DBB9F92" w14:textId="77777777" w:rsidR="00E773D4" w:rsidRDefault="00E773D4">
            <w:pPr>
              <w:tabs>
                <w:tab w:val="left" w:pos="709"/>
              </w:tabs>
              <w:rPr>
                <w:sz w:val="24"/>
              </w:rPr>
            </w:pPr>
          </w:p>
          <w:p w14:paraId="4DBB9F93" w14:textId="77777777" w:rsidR="00E773D4" w:rsidRDefault="00E773D4">
            <w:pPr>
              <w:tabs>
                <w:tab w:val="left" w:pos="709"/>
              </w:tabs>
              <w:rPr>
                <w:sz w:val="24"/>
              </w:rPr>
            </w:pPr>
          </w:p>
          <w:p w14:paraId="4DBB9F94" w14:textId="77777777" w:rsidR="00E773D4" w:rsidRDefault="00E773D4">
            <w:pPr>
              <w:tabs>
                <w:tab w:val="left" w:pos="709"/>
              </w:tabs>
              <w:rPr>
                <w:sz w:val="24"/>
              </w:rPr>
            </w:pPr>
          </w:p>
          <w:p w14:paraId="4DBB9F95" w14:textId="77777777" w:rsidR="00E773D4" w:rsidRDefault="00E773D4">
            <w:pPr>
              <w:tabs>
                <w:tab w:val="left" w:pos="709"/>
              </w:tabs>
              <w:rPr>
                <w:sz w:val="24"/>
              </w:rPr>
            </w:pPr>
            <w:r>
              <w:rPr>
                <w:sz w:val="24"/>
              </w:rPr>
              <w:t>Dato:</w:t>
            </w:r>
          </w:p>
          <w:p w14:paraId="4DBB9F96" w14:textId="77777777" w:rsidR="00E773D4" w:rsidRDefault="00E773D4">
            <w:pPr>
              <w:tabs>
                <w:tab w:val="left" w:pos="709"/>
              </w:tabs>
              <w:rPr>
                <w:sz w:val="24"/>
              </w:rPr>
            </w:pPr>
          </w:p>
          <w:p w14:paraId="4DBB9F97" w14:textId="77777777" w:rsidR="00E773D4" w:rsidRDefault="00E773D4">
            <w:pPr>
              <w:tabs>
                <w:tab w:val="left" w:pos="709"/>
              </w:tabs>
              <w:rPr>
                <w:sz w:val="24"/>
              </w:rPr>
            </w:pPr>
          </w:p>
          <w:p w14:paraId="4DBB9F98" w14:textId="77777777" w:rsidR="00E773D4" w:rsidRDefault="00E773D4">
            <w:pPr>
              <w:tabs>
                <w:tab w:val="left" w:pos="709"/>
              </w:tabs>
              <w:rPr>
                <w:sz w:val="24"/>
              </w:rPr>
            </w:pPr>
            <w:r>
              <w:rPr>
                <w:sz w:val="24"/>
              </w:rPr>
              <w:t>Underskrift:</w:t>
            </w:r>
          </w:p>
          <w:p w14:paraId="4DBB9F99" w14:textId="77777777" w:rsidR="00E773D4" w:rsidRDefault="00E773D4">
            <w:pPr>
              <w:tabs>
                <w:tab w:val="left" w:pos="709"/>
              </w:tabs>
              <w:rPr>
                <w:sz w:val="24"/>
              </w:rPr>
            </w:pPr>
          </w:p>
        </w:tc>
      </w:tr>
    </w:tbl>
    <w:p w14:paraId="4DBB9F9B" w14:textId="77777777" w:rsidR="00E773D4" w:rsidRDefault="00E773D4"/>
    <w:p w14:paraId="4DBB9F9C" w14:textId="77777777" w:rsidR="00E773D4" w:rsidRDefault="00E773D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E773D4" w14:paraId="4DBB9FB0" w14:textId="77777777">
        <w:tc>
          <w:tcPr>
            <w:tcW w:w="9781" w:type="dxa"/>
          </w:tcPr>
          <w:p w14:paraId="4DBB9F9D" w14:textId="77777777" w:rsidR="00E773D4" w:rsidRDefault="00E773D4">
            <w:pPr>
              <w:tabs>
                <w:tab w:val="left" w:pos="709"/>
              </w:tabs>
              <w:rPr>
                <w:b/>
                <w:sz w:val="24"/>
              </w:rPr>
            </w:pPr>
            <w:r>
              <w:rPr>
                <w:sz w:val="24"/>
              </w:rPr>
              <w:br w:type="page"/>
            </w:r>
            <w:r>
              <w:rPr>
                <w:b/>
                <w:sz w:val="24"/>
              </w:rPr>
              <w:t>Revisionspåtegning:</w:t>
            </w:r>
          </w:p>
          <w:p w14:paraId="4DBB9F9E" w14:textId="35CB2B8A" w:rsidR="00E773D4" w:rsidRDefault="00E773D4">
            <w:pPr>
              <w:tabs>
                <w:tab w:val="left" w:pos="709"/>
              </w:tabs>
              <w:rPr>
                <w:sz w:val="24"/>
              </w:rPr>
            </w:pPr>
          </w:p>
          <w:p w14:paraId="4E522BC4" w14:textId="60E47D90" w:rsidR="00437F55" w:rsidRDefault="00437F55">
            <w:pPr>
              <w:tabs>
                <w:tab w:val="left" w:pos="709"/>
              </w:tabs>
              <w:rPr>
                <w:sz w:val="24"/>
              </w:rPr>
            </w:pPr>
            <w:r>
              <w:rPr>
                <w:sz w:val="24"/>
              </w:rPr>
              <w:t>Hvis der i regnskabsåret er modtaget 30.000 kr. eller derover</w:t>
            </w:r>
            <w:r w:rsidR="0047020C">
              <w:rPr>
                <w:sz w:val="24"/>
              </w:rPr>
              <w:t>,</w:t>
            </w:r>
            <w:r>
              <w:rPr>
                <w:sz w:val="24"/>
              </w:rPr>
              <w:t xml:space="preserve"> skal regnskabet være revideret af en statsautoriseret eller registreret revisor. Vedlagte revisorerklæring </w:t>
            </w:r>
            <w:r w:rsidR="0071016A">
              <w:rPr>
                <w:sz w:val="24"/>
              </w:rPr>
              <w:t>kan</w:t>
            </w:r>
            <w:r>
              <w:rPr>
                <w:sz w:val="24"/>
              </w:rPr>
              <w:t xml:space="preserve"> i givet fald vedlægges</w:t>
            </w:r>
            <w:r w:rsidR="0047020C">
              <w:rPr>
                <w:sz w:val="24"/>
              </w:rPr>
              <w:t xml:space="preserve"> regnskabet</w:t>
            </w:r>
            <w:r w:rsidR="001B1DCA">
              <w:rPr>
                <w:sz w:val="24"/>
              </w:rPr>
              <w:t xml:space="preserve"> med udfyldelse af [  ].</w:t>
            </w:r>
          </w:p>
          <w:p w14:paraId="6568C4C5" w14:textId="77777777" w:rsidR="00E773D4" w:rsidRDefault="00E773D4" w:rsidP="00437F55">
            <w:pPr>
              <w:tabs>
                <w:tab w:val="left" w:pos="709"/>
              </w:tabs>
              <w:rPr>
                <w:sz w:val="24"/>
              </w:rPr>
            </w:pPr>
          </w:p>
          <w:p w14:paraId="2E681E63" w14:textId="77777777" w:rsidR="00A03D28" w:rsidRDefault="00A03D28" w:rsidP="00A03D2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De præciserede vilkår i bilag 1, punkt 1 for så vidt angår interne forretningsgange og regelsæt</w:t>
            </w:r>
          </w:p>
          <w:p w14:paraId="6B629534" w14:textId="77777777" w:rsidR="00A03D28" w:rsidRDefault="00A03D28" w:rsidP="00A03D2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skal være opfyldt pr. 31. december 2018. Det skal fremgå af revisorens erklæring</w:t>
            </w:r>
          </w:p>
          <w:p w14:paraId="4DBB9FAF" w14:textId="4002D28B" w:rsidR="00A03D28" w:rsidRDefault="00A03D28" w:rsidP="00A03D28">
            <w:pPr>
              <w:tabs>
                <w:tab w:val="left" w:pos="709"/>
              </w:tabs>
              <w:rPr>
                <w:sz w:val="24"/>
              </w:rPr>
            </w:pPr>
            <w:r>
              <w:rPr>
                <w:rFonts w:ascii="TimesNewRomanPSMT" w:hAnsi="TimesNewRomanPSMT" w:cs="TimesNewRomanPSMT"/>
                <w:sz w:val="24"/>
                <w:szCs w:val="24"/>
              </w:rPr>
              <w:t>for AKUT-regnskabet for kalenderåret 2018.</w:t>
            </w:r>
          </w:p>
        </w:tc>
      </w:tr>
    </w:tbl>
    <w:p w14:paraId="4DBB9FB1" w14:textId="77777777" w:rsidR="00E773D4" w:rsidRDefault="00E773D4">
      <w:pPr>
        <w:tabs>
          <w:tab w:val="left" w:pos="709"/>
        </w:tabs>
        <w:rPr>
          <w:sz w:val="24"/>
        </w:rPr>
      </w:pPr>
    </w:p>
    <w:p w14:paraId="4DBB9FB2" w14:textId="77777777" w:rsidR="00E773D4" w:rsidRDefault="00E773D4">
      <w:pPr>
        <w:tabs>
          <w:tab w:val="left" w:pos="709"/>
        </w:tabs>
        <w:rPr>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E773D4" w14:paraId="4DBB9FBC" w14:textId="77777777">
        <w:tc>
          <w:tcPr>
            <w:tcW w:w="9781" w:type="dxa"/>
          </w:tcPr>
          <w:p w14:paraId="4DBB9FB3" w14:textId="77777777" w:rsidR="00E773D4" w:rsidRDefault="00E773D4">
            <w:pPr>
              <w:tabs>
                <w:tab w:val="left" w:pos="709"/>
              </w:tabs>
              <w:rPr>
                <w:b/>
                <w:sz w:val="24"/>
              </w:rPr>
            </w:pPr>
            <w:r>
              <w:rPr>
                <w:b/>
                <w:sz w:val="24"/>
              </w:rPr>
              <w:t>Godkendelsespåtegning:</w:t>
            </w:r>
          </w:p>
          <w:p w14:paraId="4DBB9FB4" w14:textId="77777777" w:rsidR="00E773D4" w:rsidRDefault="00E773D4">
            <w:pPr>
              <w:tabs>
                <w:tab w:val="left" w:pos="709"/>
              </w:tabs>
              <w:rPr>
                <w:sz w:val="24"/>
              </w:rPr>
            </w:pPr>
          </w:p>
          <w:p w14:paraId="4DBB9FB5" w14:textId="77777777" w:rsidR="00E773D4" w:rsidRDefault="00E773D4">
            <w:pPr>
              <w:tabs>
                <w:tab w:val="left" w:pos="709"/>
              </w:tabs>
              <w:rPr>
                <w:sz w:val="24"/>
              </w:rPr>
            </w:pPr>
          </w:p>
          <w:p w14:paraId="4DBB9FB6" w14:textId="77777777" w:rsidR="00E773D4" w:rsidRDefault="00E773D4">
            <w:pPr>
              <w:tabs>
                <w:tab w:val="left" w:pos="709"/>
              </w:tabs>
              <w:rPr>
                <w:sz w:val="24"/>
              </w:rPr>
            </w:pPr>
          </w:p>
          <w:p w14:paraId="4DBB9FB7" w14:textId="77777777" w:rsidR="00E773D4" w:rsidRDefault="00E773D4">
            <w:pPr>
              <w:tabs>
                <w:tab w:val="left" w:pos="709"/>
              </w:tabs>
              <w:rPr>
                <w:sz w:val="24"/>
              </w:rPr>
            </w:pPr>
          </w:p>
          <w:p w14:paraId="4DBB9FB8" w14:textId="77777777" w:rsidR="00E773D4" w:rsidRDefault="00E773D4">
            <w:pPr>
              <w:tabs>
                <w:tab w:val="left" w:pos="709"/>
              </w:tabs>
              <w:rPr>
                <w:sz w:val="24"/>
              </w:rPr>
            </w:pPr>
            <w:r>
              <w:rPr>
                <w:sz w:val="24"/>
              </w:rPr>
              <w:t>Dato:</w:t>
            </w:r>
          </w:p>
          <w:p w14:paraId="4DBB9FB9" w14:textId="77777777" w:rsidR="00E773D4" w:rsidRDefault="00E773D4">
            <w:pPr>
              <w:tabs>
                <w:tab w:val="left" w:pos="709"/>
              </w:tabs>
              <w:rPr>
                <w:sz w:val="24"/>
              </w:rPr>
            </w:pPr>
          </w:p>
          <w:p w14:paraId="4DBB9FBA" w14:textId="77777777" w:rsidR="00E773D4" w:rsidRDefault="00E773D4">
            <w:pPr>
              <w:tabs>
                <w:tab w:val="left" w:pos="709"/>
              </w:tabs>
              <w:rPr>
                <w:sz w:val="24"/>
              </w:rPr>
            </w:pPr>
            <w:r>
              <w:rPr>
                <w:sz w:val="24"/>
              </w:rPr>
              <w:t>Underskrift:</w:t>
            </w:r>
          </w:p>
          <w:p w14:paraId="4DBB9FBB" w14:textId="77777777" w:rsidR="00E773D4" w:rsidRDefault="00E773D4">
            <w:pPr>
              <w:tabs>
                <w:tab w:val="left" w:pos="709"/>
              </w:tabs>
              <w:rPr>
                <w:sz w:val="24"/>
              </w:rPr>
            </w:pPr>
          </w:p>
        </w:tc>
      </w:tr>
    </w:tbl>
    <w:p w14:paraId="4DBB9FBD" w14:textId="77777777" w:rsidR="00E85498" w:rsidRDefault="00E85498">
      <w:pPr>
        <w:pStyle w:val="Billedtekst"/>
      </w:pPr>
    </w:p>
    <w:p w14:paraId="3ACE3592" w14:textId="77777777" w:rsidR="001B1DCA" w:rsidRDefault="001B1DCA">
      <w:pPr>
        <w:rPr>
          <w:b/>
          <w:sz w:val="24"/>
        </w:rPr>
      </w:pPr>
      <w:r>
        <w:br w:type="page"/>
      </w:r>
    </w:p>
    <w:p w14:paraId="565C62AD" w14:textId="43B3D05D" w:rsidR="001B1DCA" w:rsidRPr="00CE40B7" w:rsidRDefault="001B1DCA" w:rsidP="00CE40B7">
      <w:pPr>
        <w:pStyle w:val="Overskrift1"/>
        <w:jc w:val="center"/>
        <w:rPr>
          <w:rFonts w:eastAsiaTheme="minorHAnsi"/>
          <w:sz w:val="28"/>
          <w:szCs w:val="28"/>
        </w:rPr>
      </w:pPr>
      <w:r w:rsidRPr="00CE40B7">
        <w:rPr>
          <w:rFonts w:eastAsiaTheme="minorHAnsi"/>
          <w:sz w:val="28"/>
          <w:szCs w:val="28"/>
        </w:rPr>
        <w:lastRenderedPageBreak/>
        <w:t>Den uafhængige revisors erklæring</w:t>
      </w:r>
    </w:p>
    <w:p w14:paraId="5C475D4E" w14:textId="77777777" w:rsidR="001B1DCA" w:rsidRDefault="001B1DCA" w:rsidP="001B1DCA">
      <w:pPr>
        <w:pStyle w:val="Overskrift1"/>
        <w:rPr>
          <w:rFonts w:eastAsiaTheme="minorHAnsi"/>
        </w:rPr>
      </w:pPr>
    </w:p>
    <w:p w14:paraId="1EDFCEE0" w14:textId="77777777" w:rsidR="001B1DCA" w:rsidRDefault="001B1DCA" w:rsidP="001B1DCA">
      <w:pPr>
        <w:pStyle w:val="Overskrift1"/>
        <w:rPr>
          <w:rFonts w:eastAsiaTheme="minorHAnsi"/>
        </w:rPr>
      </w:pPr>
    </w:p>
    <w:p w14:paraId="4C6B7172" w14:textId="77777777" w:rsidR="001B1DCA" w:rsidRDefault="001B1DCA" w:rsidP="001B1DCA">
      <w:pPr>
        <w:pStyle w:val="Overskrift1"/>
        <w:rPr>
          <w:rFonts w:eastAsiaTheme="minorHAnsi"/>
        </w:rPr>
      </w:pPr>
    </w:p>
    <w:p w14:paraId="06928E4D" w14:textId="77777777" w:rsidR="001B1DCA" w:rsidRDefault="001B1DCA" w:rsidP="001B1DCA">
      <w:pPr>
        <w:pStyle w:val="Overskrift1"/>
        <w:rPr>
          <w:rFonts w:eastAsiaTheme="minorHAnsi"/>
        </w:rPr>
      </w:pPr>
    </w:p>
    <w:p w14:paraId="6C2B3CC5" w14:textId="50EBF13D" w:rsidR="001B1DCA" w:rsidRPr="00CE40B7" w:rsidRDefault="001B1DCA" w:rsidP="001B1DCA">
      <w:pPr>
        <w:pStyle w:val="Overskrift1"/>
        <w:rPr>
          <w:sz w:val="28"/>
          <w:szCs w:val="28"/>
        </w:rPr>
      </w:pPr>
      <w:r w:rsidRPr="00CE40B7">
        <w:rPr>
          <w:rFonts w:eastAsiaTheme="minorHAnsi"/>
          <w:sz w:val="28"/>
          <w:szCs w:val="28"/>
        </w:rPr>
        <w:t>Til ledelsen i [forbund] samt AKUT-Fonden</w:t>
      </w:r>
    </w:p>
    <w:p w14:paraId="51C73F1C" w14:textId="77777777" w:rsidR="001B1DCA" w:rsidRDefault="001B1DCA" w:rsidP="001B1DCA">
      <w:pPr>
        <w:pStyle w:val="Overskrift1"/>
        <w:rPr>
          <w:rFonts w:eastAsiaTheme="minorHAnsi"/>
        </w:rPr>
      </w:pPr>
    </w:p>
    <w:p w14:paraId="1CFCB1B3" w14:textId="77777777" w:rsidR="001B1DCA" w:rsidRDefault="001B1DCA" w:rsidP="001B1DCA">
      <w:pPr>
        <w:pStyle w:val="Overskrift1"/>
        <w:rPr>
          <w:rFonts w:eastAsiaTheme="minorHAnsi"/>
        </w:rPr>
      </w:pPr>
    </w:p>
    <w:p w14:paraId="36992BDB" w14:textId="77777777" w:rsidR="001B1DCA" w:rsidRDefault="001B1DCA" w:rsidP="001B1DCA">
      <w:pPr>
        <w:pStyle w:val="Overskrift1"/>
        <w:rPr>
          <w:rFonts w:eastAsiaTheme="minorHAnsi"/>
        </w:rPr>
      </w:pPr>
    </w:p>
    <w:p w14:paraId="47BE37C1" w14:textId="77777777" w:rsidR="001B1DCA" w:rsidRDefault="001B1DCA" w:rsidP="001B1DCA">
      <w:pPr>
        <w:pStyle w:val="Overskrift1"/>
        <w:rPr>
          <w:rFonts w:eastAsiaTheme="minorHAnsi"/>
        </w:rPr>
      </w:pPr>
    </w:p>
    <w:p w14:paraId="7B16E536" w14:textId="77777777" w:rsidR="001B1DCA" w:rsidRDefault="001B1DCA" w:rsidP="001B1DCA">
      <w:pPr>
        <w:pStyle w:val="Overskrift1"/>
        <w:rPr>
          <w:rFonts w:eastAsiaTheme="minorHAnsi"/>
        </w:rPr>
      </w:pPr>
    </w:p>
    <w:p w14:paraId="63CD0497" w14:textId="6C8C5F64" w:rsidR="001B1DCA" w:rsidRPr="00CE40B7" w:rsidRDefault="001B1DCA" w:rsidP="001B1DCA">
      <w:pPr>
        <w:pStyle w:val="Overskrift1"/>
        <w:rPr>
          <w:sz w:val="28"/>
          <w:szCs w:val="28"/>
        </w:rPr>
      </w:pPr>
      <w:r w:rsidRPr="00CE40B7">
        <w:rPr>
          <w:rFonts w:eastAsiaTheme="minorHAnsi"/>
          <w:sz w:val="28"/>
          <w:szCs w:val="28"/>
        </w:rPr>
        <w:t>Erklæring på opgørelse for anvendelse af AKUT-midler for 201</w:t>
      </w:r>
      <w:r w:rsidR="00A03D28">
        <w:rPr>
          <w:rFonts w:eastAsiaTheme="minorHAnsi"/>
          <w:sz w:val="28"/>
          <w:szCs w:val="28"/>
        </w:rPr>
        <w:t>8</w:t>
      </w:r>
      <w:r w:rsidRPr="00CE40B7">
        <w:rPr>
          <w:rFonts w:eastAsiaTheme="minorHAnsi"/>
          <w:sz w:val="28"/>
          <w:szCs w:val="28"/>
        </w:rPr>
        <w:t>, j.nr. [XXXX]</w:t>
      </w:r>
    </w:p>
    <w:p w14:paraId="793F1E23" w14:textId="77777777" w:rsidR="001B1DCA" w:rsidRDefault="001B1DCA" w:rsidP="001B1DCA">
      <w:pPr>
        <w:pStyle w:val="Overskrift2"/>
      </w:pPr>
    </w:p>
    <w:p w14:paraId="4B35F284" w14:textId="386441DA" w:rsidR="001B1DCA" w:rsidRPr="00CE40B7" w:rsidRDefault="001B1DCA" w:rsidP="001B1DCA">
      <w:pPr>
        <w:pStyle w:val="Overskrift2"/>
        <w:rPr>
          <w:b/>
        </w:rPr>
      </w:pPr>
      <w:r w:rsidRPr="00CE40B7">
        <w:rPr>
          <w:b/>
        </w:rPr>
        <w:t>Konklusion</w:t>
      </w:r>
    </w:p>
    <w:p w14:paraId="6FA58DBD" w14:textId="6034739D" w:rsidR="001B1DCA" w:rsidRPr="00CE40B7" w:rsidRDefault="001B1DCA" w:rsidP="00CE40B7">
      <w:pPr>
        <w:jc w:val="both"/>
        <w:rPr>
          <w:sz w:val="24"/>
          <w:szCs w:val="24"/>
        </w:rPr>
      </w:pPr>
      <w:r w:rsidRPr="00CE40B7">
        <w:rPr>
          <w:sz w:val="24"/>
          <w:szCs w:val="24"/>
        </w:rPr>
        <w:t>Vi har revideret opgørelsen over anvendte AKUT midler for 201</w:t>
      </w:r>
      <w:r w:rsidR="00A03D28">
        <w:rPr>
          <w:sz w:val="24"/>
          <w:szCs w:val="24"/>
        </w:rPr>
        <w:t>8</w:t>
      </w:r>
      <w:r w:rsidRPr="00CE40B7">
        <w:rPr>
          <w:sz w:val="24"/>
          <w:szCs w:val="24"/>
        </w:rPr>
        <w:t xml:space="preserve"> for [forbund]. Opgørelsen udviser udgifter på i alt kr. [</w:t>
      </w:r>
      <w:proofErr w:type="spellStart"/>
      <w:r w:rsidRPr="00CE40B7">
        <w:rPr>
          <w:sz w:val="24"/>
          <w:szCs w:val="24"/>
        </w:rPr>
        <w:t>xxx.xxx</w:t>
      </w:r>
      <w:proofErr w:type="spellEnd"/>
      <w:r w:rsidRPr="00CE40B7">
        <w:rPr>
          <w:sz w:val="24"/>
          <w:szCs w:val="24"/>
        </w:rPr>
        <w:t>] samt [xxx] kursistdage.</w:t>
      </w:r>
    </w:p>
    <w:p w14:paraId="3D3B790E" w14:textId="77777777" w:rsidR="001B1DCA" w:rsidRPr="00CE40B7" w:rsidRDefault="001B1DCA" w:rsidP="00CE40B7">
      <w:pPr>
        <w:jc w:val="both"/>
        <w:rPr>
          <w:sz w:val="24"/>
          <w:szCs w:val="24"/>
        </w:rPr>
      </w:pPr>
    </w:p>
    <w:p w14:paraId="2D9FEF6B" w14:textId="77777777" w:rsidR="001B1DCA" w:rsidRPr="00CE40B7" w:rsidRDefault="001B1DCA" w:rsidP="00CE40B7">
      <w:pPr>
        <w:jc w:val="both"/>
        <w:rPr>
          <w:sz w:val="24"/>
          <w:szCs w:val="24"/>
        </w:rPr>
      </w:pPr>
      <w:r w:rsidRPr="00CE40B7">
        <w:rPr>
          <w:sz w:val="24"/>
          <w:szCs w:val="24"/>
        </w:rPr>
        <w:t xml:space="preserve">Opgørelsen er udarbejdet af ledelsen i overensstemmelse med ”Vedtægter for AKUT”. </w:t>
      </w:r>
    </w:p>
    <w:p w14:paraId="6BB0B3D6" w14:textId="77777777" w:rsidR="001B1DCA" w:rsidRPr="00CE40B7" w:rsidRDefault="001B1DCA" w:rsidP="00CE40B7">
      <w:pPr>
        <w:jc w:val="both"/>
        <w:rPr>
          <w:sz w:val="24"/>
          <w:szCs w:val="24"/>
        </w:rPr>
      </w:pPr>
    </w:p>
    <w:p w14:paraId="74EFFC05" w14:textId="77777777" w:rsidR="001B1DCA" w:rsidRPr="00CE40B7" w:rsidRDefault="001B1DCA" w:rsidP="00CE40B7">
      <w:pPr>
        <w:jc w:val="both"/>
        <w:rPr>
          <w:sz w:val="24"/>
          <w:szCs w:val="24"/>
        </w:rPr>
      </w:pPr>
      <w:r w:rsidRPr="00CE40B7">
        <w:rPr>
          <w:sz w:val="24"/>
          <w:szCs w:val="24"/>
        </w:rPr>
        <w:t>Det er vores opfattelse, at opgørelsen i alle væsentlige henseender er udarbejdet i overensstemmelse med ”Vedtægter for AKUT”.</w:t>
      </w:r>
    </w:p>
    <w:p w14:paraId="007478E0" w14:textId="77777777" w:rsidR="001B1DCA" w:rsidRDefault="001B1DCA" w:rsidP="00CE40B7">
      <w:pPr>
        <w:pStyle w:val="Overskrift2"/>
        <w:jc w:val="both"/>
        <w:rPr>
          <w:szCs w:val="24"/>
        </w:rPr>
      </w:pPr>
    </w:p>
    <w:p w14:paraId="35A43F95" w14:textId="62D42AA2" w:rsidR="001B1DCA" w:rsidRPr="00CE40B7" w:rsidRDefault="001B1DCA" w:rsidP="00CE40B7">
      <w:pPr>
        <w:pStyle w:val="Overskrift2"/>
        <w:jc w:val="both"/>
        <w:rPr>
          <w:b/>
          <w:szCs w:val="24"/>
        </w:rPr>
      </w:pPr>
      <w:r w:rsidRPr="00CE40B7">
        <w:rPr>
          <w:b/>
          <w:szCs w:val="24"/>
        </w:rPr>
        <w:t>Grundlag for konklusion</w:t>
      </w:r>
    </w:p>
    <w:p w14:paraId="79280307" w14:textId="0F4DCBB2" w:rsidR="001B1DCA" w:rsidRDefault="001B1DCA" w:rsidP="00CE40B7">
      <w:pPr>
        <w:jc w:val="both"/>
        <w:rPr>
          <w:sz w:val="24"/>
          <w:szCs w:val="24"/>
        </w:rPr>
      </w:pPr>
      <w:r w:rsidRPr="00CE40B7">
        <w:rPr>
          <w:sz w:val="24"/>
          <w:szCs w:val="24"/>
        </w:rPr>
        <w:t>Vi har udført vores revision i overensstemmelse med internationale standarder om revision og de yderligere krav, der er gældende i Danmark. Vores ansvar ifølge disse standarder og krav er nærmere beskrevet i erklæringens afsnit ”Revisors ansvar for revisionen af opgørelsen”. Vi er uafhængige af ”forbund” i overensstemmelse med internationale etiske regler for revisorer (</w:t>
      </w:r>
      <w:proofErr w:type="spellStart"/>
      <w:r w:rsidRPr="00CE40B7">
        <w:rPr>
          <w:sz w:val="24"/>
          <w:szCs w:val="24"/>
        </w:rPr>
        <w:t>IESBA’s</w:t>
      </w:r>
      <w:proofErr w:type="spellEnd"/>
      <w:r w:rsidRPr="00CE40B7">
        <w:rPr>
          <w:sz w:val="24"/>
          <w:szCs w:val="24"/>
        </w:rPr>
        <w:t xml:space="preserve"> Etiske regler) og de yderligere krav, der er gældende i Danmark, ligesom vi har opfyldt vores øvrige etiske forpligtelser i henhold til disse regler og krav. Det er vores opfattelse, at det opnåede revisionsbevis er tilstrækkeligt og egnet som grundlag for vores konklusion.</w:t>
      </w:r>
    </w:p>
    <w:p w14:paraId="368C267C" w14:textId="77777777" w:rsidR="001B1DCA" w:rsidRPr="00CE40B7" w:rsidRDefault="001B1DCA" w:rsidP="001B1DCA">
      <w:pPr>
        <w:rPr>
          <w:sz w:val="24"/>
          <w:szCs w:val="24"/>
        </w:rPr>
      </w:pPr>
    </w:p>
    <w:p w14:paraId="0F0923D3" w14:textId="77777777" w:rsidR="001B1DCA" w:rsidRPr="00CE40B7" w:rsidRDefault="001B1DCA" w:rsidP="001B1DCA">
      <w:pPr>
        <w:pStyle w:val="Overskrift2"/>
        <w:rPr>
          <w:b/>
          <w:szCs w:val="24"/>
        </w:rPr>
      </w:pPr>
      <w:r w:rsidRPr="00CE40B7">
        <w:rPr>
          <w:b/>
          <w:szCs w:val="24"/>
        </w:rPr>
        <w:t>Fremhævelse af forhold i opgørelsen - anvendt regnskabspraksis samt begrænsning i distribution og anvendelse</w:t>
      </w:r>
    </w:p>
    <w:p w14:paraId="6CB007ED" w14:textId="77777777" w:rsidR="001B1DCA" w:rsidRPr="00CE40B7" w:rsidRDefault="001B1DCA" w:rsidP="00CE40B7">
      <w:pPr>
        <w:jc w:val="both"/>
        <w:rPr>
          <w:sz w:val="24"/>
          <w:szCs w:val="24"/>
        </w:rPr>
      </w:pPr>
      <w:r w:rsidRPr="00CE40B7">
        <w:rPr>
          <w:sz w:val="24"/>
          <w:szCs w:val="24"/>
        </w:rPr>
        <w:t>Uden at modificere vores konklusion henleder vi opmærksomheden på, at opgørelsen er udarbejdet i overensstemmelse med kravene i ”Vedtægter for AKUT”. Opgørelsen er udarbejdet med det formål at give oplysninger til ledelsen i ”forbund” og AKUT-fonden. Som følge heraf kan opgørelsen være uegnet til andet formål.</w:t>
      </w:r>
    </w:p>
    <w:p w14:paraId="382D0ABB" w14:textId="77777777" w:rsidR="001B1DCA" w:rsidRPr="00CE40B7" w:rsidRDefault="001B1DCA" w:rsidP="00CE40B7">
      <w:pPr>
        <w:jc w:val="both"/>
        <w:rPr>
          <w:sz w:val="24"/>
          <w:szCs w:val="24"/>
        </w:rPr>
      </w:pPr>
    </w:p>
    <w:p w14:paraId="330176AF" w14:textId="77777777" w:rsidR="001B1DCA" w:rsidRPr="00CE40B7" w:rsidRDefault="001B1DCA" w:rsidP="00CE40B7">
      <w:pPr>
        <w:jc w:val="both"/>
        <w:rPr>
          <w:sz w:val="24"/>
          <w:szCs w:val="24"/>
        </w:rPr>
      </w:pPr>
      <w:r w:rsidRPr="00CE40B7">
        <w:rPr>
          <w:sz w:val="24"/>
          <w:szCs w:val="24"/>
        </w:rPr>
        <w:t>Vores erklæring er alene udarbejdet til brug for ”forbund” og AKUT-fonden, og bør ikke udleveres til andre parter end [forbund] og AKUT-fonden.</w:t>
      </w:r>
    </w:p>
    <w:p w14:paraId="45605989" w14:textId="77777777" w:rsidR="001B1DCA" w:rsidRDefault="001B1DCA" w:rsidP="00CE40B7">
      <w:pPr>
        <w:pStyle w:val="Overskrift2"/>
        <w:jc w:val="both"/>
        <w:rPr>
          <w:szCs w:val="24"/>
        </w:rPr>
      </w:pPr>
    </w:p>
    <w:p w14:paraId="5A32EDBE" w14:textId="39AD3894" w:rsidR="001B1DCA" w:rsidRPr="00CE40B7" w:rsidRDefault="001B1DCA" w:rsidP="00CE40B7">
      <w:pPr>
        <w:pStyle w:val="Overskrift2"/>
        <w:jc w:val="both"/>
        <w:rPr>
          <w:b/>
          <w:szCs w:val="24"/>
        </w:rPr>
      </w:pPr>
      <w:r w:rsidRPr="00CE40B7">
        <w:rPr>
          <w:b/>
          <w:szCs w:val="24"/>
        </w:rPr>
        <w:t>Ledelsens ansvar for opgørelsen</w:t>
      </w:r>
    </w:p>
    <w:p w14:paraId="6ED76784" w14:textId="1C57B975" w:rsidR="001B1DCA" w:rsidRDefault="001B1DCA" w:rsidP="00CE40B7">
      <w:pPr>
        <w:jc w:val="both"/>
        <w:rPr>
          <w:sz w:val="24"/>
          <w:szCs w:val="24"/>
        </w:rPr>
      </w:pPr>
      <w:r w:rsidRPr="00CE40B7">
        <w:rPr>
          <w:sz w:val="24"/>
          <w:szCs w:val="24"/>
        </w:rPr>
        <w:t>Ledelsen har ansvaret for udarbejdelsen af en opgørelse i overensstemmelse med ”Vedtægter for AKUT”. Ledelsen har endvidere ansvaret for den interne kontrol, som ledelsen anser for nødvendig for at udarbejde en opgørelse uden væsentlig fejlinformation, uanset om denne skyldes besvigelser eller fejl.</w:t>
      </w:r>
    </w:p>
    <w:p w14:paraId="6C728B6D" w14:textId="77777777" w:rsidR="001B1DCA" w:rsidRPr="00CE40B7" w:rsidRDefault="001B1DCA" w:rsidP="001B1DCA">
      <w:pPr>
        <w:rPr>
          <w:sz w:val="24"/>
          <w:szCs w:val="24"/>
        </w:rPr>
      </w:pPr>
    </w:p>
    <w:p w14:paraId="58AB1675" w14:textId="77777777" w:rsidR="001B1DCA" w:rsidRPr="00CE40B7" w:rsidRDefault="001B1DCA" w:rsidP="001B1DCA">
      <w:pPr>
        <w:pStyle w:val="Overskrift2"/>
        <w:rPr>
          <w:b/>
          <w:szCs w:val="24"/>
        </w:rPr>
      </w:pPr>
      <w:r w:rsidRPr="00CE40B7">
        <w:rPr>
          <w:b/>
          <w:szCs w:val="24"/>
        </w:rPr>
        <w:t>Revisors ansvar for revisionen af opgørelsen</w:t>
      </w:r>
    </w:p>
    <w:p w14:paraId="368968BC" w14:textId="77777777" w:rsidR="001B1DCA" w:rsidRPr="00CE40B7" w:rsidRDefault="001B1DCA" w:rsidP="00CE40B7">
      <w:pPr>
        <w:jc w:val="both"/>
        <w:rPr>
          <w:sz w:val="24"/>
          <w:szCs w:val="24"/>
        </w:rPr>
      </w:pPr>
      <w:r w:rsidRPr="00CE40B7">
        <w:rPr>
          <w:sz w:val="24"/>
          <w:szCs w:val="24"/>
        </w:rPr>
        <w:t xml:space="preserve">Vores mål er at opnå høj grad af sikkerhed for, om opgørelsen som helhed er uden væsentlig fejlinformation, uanset om denne skyldes besvigelser eller fejl, og at afgive en erklæring med en konklusion. Høj grad af sikkerhed er et højt niveau af sikkerhed, men er ikke en garanti for, at en revision, </w:t>
      </w:r>
      <w:r w:rsidRPr="00CE40B7">
        <w:rPr>
          <w:sz w:val="24"/>
          <w:szCs w:val="24"/>
        </w:rPr>
        <w:lastRenderedPageBreak/>
        <w:t>der udføres i overensstemmelse med internationale standarder om revision og de yderligere krav, der er gældende i Danmark, altid vil afdække væsentlig fejlinformation, når sådan findes.</w:t>
      </w:r>
    </w:p>
    <w:p w14:paraId="5083D328" w14:textId="77777777" w:rsidR="001B1DCA" w:rsidRPr="00CE40B7" w:rsidRDefault="001B1DCA" w:rsidP="00CE40B7">
      <w:pPr>
        <w:jc w:val="both"/>
        <w:rPr>
          <w:sz w:val="24"/>
          <w:szCs w:val="24"/>
        </w:rPr>
      </w:pPr>
    </w:p>
    <w:p w14:paraId="6C487DB8" w14:textId="77777777" w:rsidR="001B1DCA" w:rsidRPr="00CE40B7" w:rsidRDefault="001B1DCA" w:rsidP="00CE40B7">
      <w:pPr>
        <w:jc w:val="both"/>
        <w:rPr>
          <w:sz w:val="24"/>
          <w:szCs w:val="24"/>
        </w:rPr>
      </w:pPr>
      <w:r w:rsidRPr="00CE40B7">
        <w:rPr>
          <w:sz w:val="24"/>
          <w:szCs w:val="24"/>
        </w:rPr>
        <w:t>Fejlinformationer kan opstå som følge af besvigelser eller fejl og kan betragtes som væsentlige, hvis det med rimelighed kan forventes, at de enkeltvis eller samlet har indflydelse på de økonomiske beslutninger, som regnskabsbrugerne træffer på grundlag af opgørelsen.</w:t>
      </w:r>
    </w:p>
    <w:p w14:paraId="340BF408" w14:textId="77777777" w:rsidR="001B1DCA" w:rsidRPr="00CE40B7" w:rsidRDefault="001B1DCA" w:rsidP="00CE40B7">
      <w:pPr>
        <w:jc w:val="both"/>
        <w:rPr>
          <w:sz w:val="24"/>
          <w:szCs w:val="24"/>
        </w:rPr>
      </w:pPr>
    </w:p>
    <w:p w14:paraId="499D97DE" w14:textId="77777777" w:rsidR="001B1DCA" w:rsidRPr="00CE40B7" w:rsidRDefault="001B1DCA" w:rsidP="00CE40B7">
      <w:pPr>
        <w:jc w:val="both"/>
        <w:rPr>
          <w:sz w:val="24"/>
          <w:szCs w:val="24"/>
        </w:rPr>
      </w:pPr>
      <w:r w:rsidRPr="00CE40B7">
        <w:rPr>
          <w:sz w:val="24"/>
          <w:szCs w:val="24"/>
        </w:rPr>
        <w:t>Som led i en revision, der udføres i overensstemmelse med internationale standarder om revision og de yderligere krav, der er gældende i Danmark, foretager vi faglige vurderinger og opretholder professionel skepsis under revisionen. Herudover:</w:t>
      </w:r>
    </w:p>
    <w:p w14:paraId="3DD80BFF" w14:textId="77777777" w:rsidR="001B1DCA" w:rsidRPr="00CE40B7" w:rsidRDefault="001B1DCA" w:rsidP="001B1DCA">
      <w:pPr>
        <w:rPr>
          <w:sz w:val="24"/>
          <w:szCs w:val="24"/>
        </w:rPr>
      </w:pPr>
    </w:p>
    <w:p w14:paraId="24510224" w14:textId="77777777" w:rsidR="001B1DCA" w:rsidRPr="00CE40B7" w:rsidRDefault="001B1DCA" w:rsidP="00CE40B7">
      <w:pPr>
        <w:pStyle w:val="Listeafsnit"/>
        <w:numPr>
          <w:ilvl w:val="0"/>
          <w:numId w:val="4"/>
        </w:numPr>
        <w:spacing w:line="240" w:lineRule="auto"/>
        <w:ind w:left="714" w:hanging="357"/>
        <w:rPr>
          <w:rFonts w:ascii="Times New Roman" w:hAnsi="Times New Roman" w:cs="Times New Roman"/>
          <w:color w:val="auto"/>
          <w:sz w:val="24"/>
        </w:rPr>
      </w:pPr>
      <w:r w:rsidRPr="00CE40B7">
        <w:rPr>
          <w:rFonts w:ascii="Times New Roman" w:hAnsi="Times New Roman" w:cs="Times New Roman"/>
          <w:color w:val="auto"/>
          <w:sz w:val="24"/>
        </w:rPr>
        <w:t>Identificerer og vurderer vi risikoen for væsentlig fejlinformation i opgørelsen,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52CBE403" w14:textId="77777777" w:rsidR="001B1DCA" w:rsidRPr="00CE40B7" w:rsidRDefault="001B1DCA" w:rsidP="00CE40B7">
      <w:pPr>
        <w:pStyle w:val="Listeafsnit"/>
        <w:numPr>
          <w:ilvl w:val="0"/>
          <w:numId w:val="4"/>
        </w:numPr>
        <w:spacing w:line="240" w:lineRule="auto"/>
        <w:ind w:left="714" w:hanging="357"/>
        <w:rPr>
          <w:rFonts w:ascii="Times New Roman" w:hAnsi="Times New Roman" w:cs="Times New Roman"/>
          <w:color w:val="auto"/>
          <w:sz w:val="24"/>
        </w:rPr>
      </w:pPr>
      <w:r w:rsidRPr="00CE40B7">
        <w:rPr>
          <w:rFonts w:ascii="Times New Roman" w:hAnsi="Times New Roman" w:cs="Times New Roman"/>
          <w:color w:val="auto"/>
          <w:sz w:val="24"/>
        </w:rPr>
        <w:t>Opnår vi forståelse af den interne kontrol med relevans for revisionen for at kunne udforme revisionshandlinger, der er passende efter omstændighederne, men ikke for at kunne udtrykke en konklusion om effektiviteten af [forbundets] interne kontrol.</w:t>
      </w:r>
    </w:p>
    <w:p w14:paraId="72F7251F" w14:textId="77777777" w:rsidR="001B1DCA" w:rsidRPr="00CE40B7" w:rsidRDefault="001B1DCA" w:rsidP="00CE40B7">
      <w:pPr>
        <w:pStyle w:val="Listeafsnit"/>
        <w:numPr>
          <w:ilvl w:val="0"/>
          <w:numId w:val="4"/>
        </w:numPr>
        <w:spacing w:line="240" w:lineRule="auto"/>
        <w:ind w:left="714" w:hanging="357"/>
        <w:rPr>
          <w:rFonts w:ascii="Times New Roman" w:hAnsi="Times New Roman" w:cs="Times New Roman"/>
          <w:color w:val="auto"/>
          <w:sz w:val="24"/>
        </w:rPr>
      </w:pPr>
      <w:r w:rsidRPr="00CE40B7">
        <w:rPr>
          <w:rFonts w:ascii="Times New Roman" w:hAnsi="Times New Roman" w:cs="Times New Roman"/>
          <w:color w:val="auto"/>
          <w:sz w:val="24"/>
        </w:rPr>
        <w:t>Tager vi stilling til, om den regnskabspraksis, som er anvendt af ledelsen, er passende, samt om de regnskabsmæssige skøn og tilknyttede oplysninger, som ledelsen har udarbejdet, er rimelige.</w:t>
      </w:r>
    </w:p>
    <w:p w14:paraId="0E5814E5" w14:textId="77777777" w:rsidR="001B1DCA" w:rsidRPr="00CE40B7" w:rsidRDefault="001B1DCA" w:rsidP="00CE40B7">
      <w:pPr>
        <w:pStyle w:val="Listeafsnit"/>
        <w:numPr>
          <w:ilvl w:val="0"/>
          <w:numId w:val="4"/>
        </w:numPr>
        <w:spacing w:line="240" w:lineRule="auto"/>
        <w:ind w:left="714" w:hanging="357"/>
        <w:rPr>
          <w:rFonts w:ascii="Times New Roman" w:hAnsi="Times New Roman" w:cs="Times New Roman"/>
          <w:color w:val="auto"/>
          <w:sz w:val="24"/>
        </w:rPr>
      </w:pPr>
      <w:r w:rsidRPr="00CE40B7">
        <w:rPr>
          <w:rFonts w:ascii="Times New Roman" w:hAnsi="Times New Roman" w:cs="Times New Roman"/>
          <w:color w:val="auto"/>
          <w:sz w:val="24"/>
        </w:rPr>
        <w:t>Tager vi stilling til den samlede præsentation, struktur og indhold af opgørelsen, herunder noteoplysningerne, samt om opgørelsen afspejler de underliggende transaktioner og begivenheder på en sådan måde, at der gives et retvisende billede heraf.</w:t>
      </w:r>
    </w:p>
    <w:p w14:paraId="642647C4" w14:textId="77777777" w:rsidR="001B1DCA" w:rsidRPr="00CE40B7" w:rsidRDefault="001B1DCA" w:rsidP="001B1DCA">
      <w:pPr>
        <w:rPr>
          <w:sz w:val="24"/>
          <w:szCs w:val="24"/>
        </w:rPr>
      </w:pPr>
    </w:p>
    <w:p w14:paraId="2B9C1B59" w14:textId="432EAC43" w:rsidR="001B1DCA" w:rsidRPr="00CE40B7" w:rsidRDefault="001B1DCA" w:rsidP="00CE40B7">
      <w:pPr>
        <w:jc w:val="both"/>
        <w:rPr>
          <w:sz w:val="24"/>
          <w:szCs w:val="24"/>
        </w:rPr>
      </w:pPr>
      <w:r w:rsidRPr="00CE40B7">
        <w:rPr>
          <w:sz w:val="24"/>
          <w:szCs w:val="24"/>
        </w:rPr>
        <w:t xml:space="preserve">Vi kommunikerer med ledelsen om blandt andet det planlagte omfang og den tidsmæssige placering af revisionen samt betydelige revisionsmæssige observationer, herunder eventuelle betydelige </w:t>
      </w:r>
      <w:r w:rsidR="00CE40B7">
        <w:rPr>
          <w:sz w:val="24"/>
          <w:szCs w:val="24"/>
        </w:rPr>
        <w:t>m</w:t>
      </w:r>
      <w:r w:rsidRPr="00CE40B7">
        <w:rPr>
          <w:sz w:val="24"/>
          <w:szCs w:val="24"/>
        </w:rPr>
        <w:t>angler i intern kontrol, som vi identificerer under revisionen.</w:t>
      </w:r>
    </w:p>
    <w:p w14:paraId="1ED1E373" w14:textId="77777777" w:rsidR="001B1DCA" w:rsidRPr="00CE40B7" w:rsidRDefault="001B1DCA" w:rsidP="001B1DCA">
      <w:pPr>
        <w:autoSpaceDE w:val="0"/>
        <w:autoSpaceDN w:val="0"/>
        <w:adjustRightInd w:val="0"/>
        <w:rPr>
          <w:sz w:val="24"/>
          <w:szCs w:val="24"/>
        </w:rPr>
      </w:pPr>
    </w:p>
    <w:p w14:paraId="750F7C81" w14:textId="57444AA4" w:rsidR="001B1DCA" w:rsidRPr="00CE40B7" w:rsidRDefault="001B1DCA" w:rsidP="001B1DCA">
      <w:pPr>
        <w:rPr>
          <w:sz w:val="24"/>
          <w:szCs w:val="24"/>
        </w:rPr>
      </w:pPr>
      <w:r w:rsidRPr="00CE40B7">
        <w:rPr>
          <w:sz w:val="24"/>
          <w:szCs w:val="24"/>
        </w:rPr>
        <w:t xml:space="preserve">København, den [xx. </w:t>
      </w:r>
      <w:proofErr w:type="spellStart"/>
      <w:r w:rsidRPr="00CE40B7">
        <w:rPr>
          <w:sz w:val="24"/>
          <w:szCs w:val="24"/>
        </w:rPr>
        <w:t>yyyy</w:t>
      </w:r>
      <w:proofErr w:type="spellEnd"/>
      <w:r w:rsidRPr="00CE40B7">
        <w:rPr>
          <w:sz w:val="24"/>
          <w:szCs w:val="24"/>
        </w:rPr>
        <w:t>] 201</w:t>
      </w:r>
      <w:r w:rsidR="00A03D28">
        <w:rPr>
          <w:sz w:val="24"/>
          <w:szCs w:val="24"/>
        </w:rPr>
        <w:t>9</w:t>
      </w:r>
    </w:p>
    <w:p w14:paraId="6E2856DF" w14:textId="77777777" w:rsidR="001B1DCA" w:rsidRPr="00CE40B7" w:rsidRDefault="001B1DCA" w:rsidP="001B1DCA">
      <w:pPr>
        <w:pStyle w:val="Navn3RI"/>
        <w:rPr>
          <w:rFonts w:ascii="Times New Roman" w:hAnsi="Times New Roman" w:cs="Times New Roman"/>
          <w:color w:val="auto"/>
          <w:sz w:val="24"/>
        </w:rPr>
      </w:pPr>
      <w:r w:rsidRPr="00CE40B7">
        <w:rPr>
          <w:rFonts w:ascii="Times New Roman" w:hAnsi="Times New Roman" w:cs="Times New Roman"/>
          <w:color w:val="auto"/>
          <w:sz w:val="24"/>
        </w:rPr>
        <w:t>Revisionsvirksomhed</w:t>
      </w:r>
    </w:p>
    <w:p w14:paraId="1C99AC83" w14:textId="77777777" w:rsidR="001B1DCA" w:rsidRPr="00CE40B7" w:rsidRDefault="001B1DCA" w:rsidP="001B1DCA">
      <w:pPr>
        <w:pStyle w:val="Navn2RI"/>
        <w:keepNext/>
        <w:tabs>
          <w:tab w:val="left" w:pos="4536"/>
        </w:tabs>
        <w:rPr>
          <w:rFonts w:ascii="Times New Roman" w:hAnsi="Times New Roman" w:cs="Times New Roman"/>
          <w:color w:val="auto"/>
          <w:sz w:val="24"/>
        </w:rPr>
      </w:pPr>
      <w:r w:rsidRPr="00CE40B7">
        <w:rPr>
          <w:rFonts w:ascii="Times New Roman" w:hAnsi="Times New Roman" w:cs="Times New Roman"/>
          <w:color w:val="auto"/>
          <w:sz w:val="24"/>
        </w:rPr>
        <w:t xml:space="preserve">CVR-nr. [xx </w:t>
      </w:r>
      <w:proofErr w:type="spellStart"/>
      <w:r w:rsidRPr="00CE40B7">
        <w:rPr>
          <w:rFonts w:ascii="Times New Roman" w:hAnsi="Times New Roman" w:cs="Times New Roman"/>
          <w:color w:val="auto"/>
          <w:sz w:val="24"/>
        </w:rPr>
        <w:t>xx</w:t>
      </w:r>
      <w:proofErr w:type="spellEnd"/>
      <w:r w:rsidRPr="00CE40B7">
        <w:rPr>
          <w:rFonts w:ascii="Times New Roman" w:hAnsi="Times New Roman" w:cs="Times New Roman"/>
          <w:color w:val="auto"/>
          <w:sz w:val="24"/>
        </w:rPr>
        <w:t xml:space="preserve"> </w:t>
      </w:r>
      <w:proofErr w:type="spellStart"/>
      <w:r w:rsidRPr="00CE40B7">
        <w:rPr>
          <w:rFonts w:ascii="Times New Roman" w:hAnsi="Times New Roman" w:cs="Times New Roman"/>
          <w:color w:val="auto"/>
          <w:sz w:val="24"/>
        </w:rPr>
        <w:t>xx</w:t>
      </w:r>
      <w:proofErr w:type="spellEnd"/>
      <w:r w:rsidRPr="00CE40B7">
        <w:rPr>
          <w:rFonts w:ascii="Times New Roman" w:hAnsi="Times New Roman" w:cs="Times New Roman"/>
          <w:color w:val="auto"/>
          <w:sz w:val="24"/>
        </w:rPr>
        <w:t xml:space="preserve"> xx]</w:t>
      </w:r>
    </w:p>
    <w:p w14:paraId="4E7BEF09" w14:textId="77777777" w:rsidR="001B1DCA" w:rsidRPr="00CE40B7" w:rsidRDefault="001B1DCA" w:rsidP="001B1DCA">
      <w:pPr>
        <w:pStyle w:val="UnderskriftRI"/>
        <w:tabs>
          <w:tab w:val="left" w:pos="4536"/>
        </w:tabs>
        <w:rPr>
          <w:rFonts w:ascii="Times New Roman" w:hAnsi="Times New Roman" w:cs="Times New Roman"/>
          <w:color w:val="auto"/>
          <w:sz w:val="24"/>
        </w:rPr>
      </w:pPr>
      <w:r w:rsidRPr="00CE40B7">
        <w:rPr>
          <w:rFonts w:ascii="Times New Roman" w:hAnsi="Times New Roman" w:cs="Times New Roman"/>
          <w:color w:val="auto"/>
          <w:sz w:val="24"/>
        </w:rPr>
        <w:t>[xx]</w:t>
      </w:r>
    </w:p>
    <w:p w14:paraId="038E171F" w14:textId="77777777" w:rsidR="001B1DCA" w:rsidRPr="00CE40B7" w:rsidRDefault="001B1DCA" w:rsidP="001B1DCA">
      <w:pPr>
        <w:pStyle w:val="UnderskriftRI"/>
        <w:rPr>
          <w:rFonts w:ascii="Times New Roman" w:hAnsi="Times New Roman" w:cs="Times New Roman"/>
          <w:color w:val="auto"/>
          <w:sz w:val="24"/>
        </w:rPr>
      </w:pPr>
      <w:r w:rsidRPr="00CE40B7">
        <w:rPr>
          <w:rFonts w:ascii="Times New Roman" w:hAnsi="Times New Roman" w:cs="Times New Roman"/>
          <w:color w:val="auto"/>
          <w:sz w:val="24"/>
        </w:rPr>
        <w:t>statsautoriseret/registreret revisor</w:t>
      </w:r>
    </w:p>
    <w:p w14:paraId="7D19B47C" w14:textId="77777777" w:rsidR="001B1DCA" w:rsidRPr="00CE40B7" w:rsidRDefault="001B1DCA" w:rsidP="001B1DCA">
      <w:pPr>
        <w:rPr>
          <w:sz w:val="24"/>
          <w:szCs w:val="24"/>
        </w:rPr>
      </w:pPr>
    </w:p>
    <w:p w14:paraId="4DBB9FBE" w14:textId="3DB3EE6A" w:rsidR="00E773D4" w:rsidRDefault="00E85498">
      <w:pPr>
        <w:pStyle w:val="Billedtekst"/>
      </w:pPr>
      <w:r w:rsidRPr="006A61B9">
        <w:rPr>
          <w:szCs w:val="24"/>
        </w:rPr>
        <w:br w:type="page"/>
      </w:r>
      <w:r w:rsidR="00E773D4">
        <w:lastRenderedPageBreak/>
        <w:t>Vedtægter for AKUT</w:t>
      </w:r>
      <w:r w:rsidR="00883F5F">
        <w:t>-fonden</w:t>
      </w:r>
    </w:p>
    <w:p w14:paraId="4DBB9FBF" w14:textId="77777777" w:rsidR="00E773D4" w:rsidRDefault="00E773D4">
      <w:pPr>
        <w:tabs>
          <w:tab w:val="left" w:pos="709"/>
        </w:tabs>
      </w:pPr>
    </w:p>
    <w:p w14:paraId="4DBB9FC0" w14:textId="77777777" w:rsidR="00E773D4" w:rsidRDefault="00E773D4">
      <w:pPr>
        <w:tabs>
          <w:tab w:val="left" w:pos="709"/>
        </w:tabs>
        <w:rPr>
          <w:sz w:val="18"/>
        </w:rPr>
        <w:sectPr w:rsidR="00E773D4" w:rsidSect="00ED4EE5">
          <w:pgSz w:w="11906" w:h="16838"/>
          <w:pgMar w:top="1077" w:right="1134" w:bottom="1021" w:left="1134" w:header="709" w:footer="709" w:gutter="0"/>
          <w:cols w:space="708"/>
        </w:sectPr>
      </w:pPr>
    </w:p>
    <w:p w14:paraId="4DBB9FC1" w14:textId="3FECAF48" w:rsidR="00E773D4" w:rsidRDefault="00E773D4">
      <w:pPr>
        <w:tabs>
          <w:tab w:val="left" w:pos="709"/>
        </w:tabs>
        <w:rPr>
          <w:sz w:val="18"/>
        </w:rPr>
      </w:pPr>
      <w:r>
        <w:rPr>
          <w:sz w:val="18"/>
        </w:rPr>
        <w:t xml:space="preserve">I medfør af § 9, stk. 3 i Aftale om tillidsrepræsentanter, samarbejde og samarbejdsudvalg </w:t>
      </w:r>
      <w:r w:rsidR="007064B4">
        <w:rPr>
          <w:sz w:val="18"/>
        </w:rPr>
        <w:t xml:space="preserve">og § 15, stk. 4 i Rammeaftale om medindflydelse og medbestemmelse </w:t>
      </w:r>
      <w:r>
        <w:rPr>
          <w:sz w:val="18"/>
        </w:rPr>
        <w:t>har</w:t>
      </w:r>
      <w:r w:rsidR="00A72635">
        <w:rPr>
          <w:sz w:val="18"/>
        </w:rPr>
        <w:t xml:space="preserve"> Regionernes Lønnings- og Takstnævn</w:t>
      </w:r>
      <w:r>
        <w:rPr>
          <w:sz w:val="18"/>
        </w:rPr>
        <w:t>, K</w:t>
      </w:r>
      <w:r w:rsidR="00A72635">
        <w:rPr>
          <w:sz w:val="18"/>
        </w:rPr>
        <w:t>L</w:t>
      </w:r>
      <w:r>
        <w:rPr>
          <w:sz w:val="18"/>
        </w:rPr>
        <w:t xml:space="preserve"> og </w:t>
      </w:r>
      <w:r w:rsidR="00A72635">
        <w:rPr>
          <w:sz w:val="18"/>
        </w:rPr>
        <w:t xml:space="preserve">Forhandlingsfællesskabet </w:t>
      </w:r>
      <w:r>
        <w:rPr>
          <w:sz w:val="18"/>
        </w:rPr>
        <w:t>aftalt følgende vedtægter for ”Amtskommunernes og Kommunernes fond for Uddannelse af Tillidsrepræsentanter m.fl.” (AKUT)</w:t>
      </w:r>
    </w:p>
    <w:p w14:paraId="4DBB9FC2" w14:textId="77777777" w:rsidR="00E773D4" w:rsidRDefault="00E773D4">
      <w:pPr>
        <w:tabs>
          <w:tab w:val="left" w:pos="709"/>
        </w:tabs>
        <w:rPr>
          <w:sz w:val="18"/>
        </w:rPr>
      </w:pPr>
    </w:p>
    <w:p w14:paraId="4DBB9FC3" w14:textId="77777777" w:rsidR="00E773D4" w:rsidRDefault="00E773D4">
      <w:pPr>
        <w:tabs>
          <w:tab w:val="left" w:pos="709"/>
        </w:tabs>
        <w:rPr>
          <w:b/>
          <w:sz w:val="18"/>
        </w:rPr>
      </w:pPr>
      <w:r>
        <w:rPr>
          <w:b/>
          <w:sz w:val="18"/>
        </w:rPr>
        <w:t>§ 1. Fondens beliggenhed</w:t>
      </w:r>
    </w:p>
    <w:p w14:paraId="4DBB9FC4" w14:textId="760D429B" w:rsidR="00E773D4" w:rsidRDefault="00E773D4" w:rsidP="00CF6DBB">
      <w:pPr>
        <w:tabs>
          <w:tab w:val="left" w:pos="709"/>
        </w:tabs>
        <w:spacing w:before="120"/>
        <w:rPr>
          <w:sz w:val="18"/>
        </w:rPr>
      </w:pPr>
      <w:r>
        <w:rPr>
          <w:sz w:val="18"/>
        </w:rPr>
        <w:t>Uddannelsesfonden er etableret som en selvstændig funktion i K</w:t>
      </w:r>
      <w:r w:rsidR="00A72635">
        <w:rPr>
          <w:sz w:val="18"/>
        </w:rPr>
        <w:t>L’s</w:t>
      </w:r>
      <w:r>
        <w:rPr>
          <w:sz w:val="18"/>
        </w:rPr>
        <w:t xml:space="preserve"> lokaler. Brevveksling fra fonden sker i dennes navn.</w:t>
      </w:r>
    </w:p>
    <w:p w14:paraId="4DBB9FC5" w14:textId="77777777" w:rsidR="00E773D4" w:rsidRDefault="00E773D4">
      <w:pPr>
        <w:tabs>
          <w:tab w:val="left" w:pos="709"/>
        </w:tabs>
        <w:rPr>
          <w:sz w:val="18"/>
        </w:rPr>
      </w:pPr>
    </w:p>
    <w:p w14:paraId="4DBB9FC6" w14:textId="77777777" w:rsidR="00E773D4" w:rsidRDefault="00E773D4">
      <w:pPr>
        <w:tabs>
          <w:tab w:val="left" w:pos="709"/>
        </w:tabs>
        <w:rPr>
          <w:b/>
          <w:sz w:val="18"/>
        </w:rPr>
      </w:pPr>
      <w:r>
        <w:rPr>
          <w:b/>
          <w:sz w:val="18"/>
        </w:rPr>
        <w:t>§ 2. Fondens indtægter og udgifter</w:t>
      </w:r>
    </w:p>
    <w:p w14:paraId="4DBB9FC7" w14:textId="77777777" w:rsidR="00E773D4" w:rsidRDefault="00E773D4" w:rsidP="00CF6DBB">
      <w:pPr>
        <w:tabs>
          <w:tab w:val="left" w:pos="709"/>
        </w:tabs>
        <w:spacing w:before="120"/>
        <w:rPr>
          <w:sz w:val="18"/>
        </w:rPr>
      </w:pPr>
      <w:r>
        <w:rPr>
          <w:sz w:val="18"/>
        </w:rPr>
        <w:t>Stk. 1</w:t>
      </w:r>
    </w:p>
    <w:p w14:paraId="4DBB9FC8" w14:textId="0FB21B38" w:rsidR="00E773D4" w:rsidRDefault="00A72635" w:rsidP="00CF6DBB">
      <w:pPr>
        <w:tabs>
          <w:tab w:val="left" w:pos="709"/>
        </w:tabs>
        <w:spacing w:after="120"/>
        <w:rPr>
          <w:sz w:val="18"/>
        </w:rPr>
      </w:pPr>
      <w:r>
        <w:rPr>
          <w:sz w:val="18"/>
        </w:rPr>
        <w:t>K</w:t>
      </w:r>
      <w:r w:rsidR="00E773D4">
        <w:rPr>
          <w:sz w:val="18"/>
        </w:rPr>
        <w:t xml:space="preserve">ommuner </w:t>
      </w:r>
      <w:r>
        <w:rPr>
          <w:sz w:val="18"/>
        </w:rPr>
        <w:t xml:space="preserve">og regioner </w:t>
      </w:r>
      <w:r w:rsidR="00E773D4">
        <w:rPr>
          <w:sz w:val="18"/>
        </w:rPr>
        <w:t xml:space="preserve">indbetaler til uddannelsesfonden et bidrag pr. præsteret arbejdstime, jf. protokollat til </w:t>
      </w:r>
      <w:r>
        <w:rPr>
          <w:sz w:val="18"/>
        </w:rPr>
        <w:t>A</w:t>
      </w:r>
      <w:r w:rsidR="00E773D4">
        <w:rPr>
          <w:sz w:val="18"/>
        </w:rPr>
        <w:t>ftale om tillidsrepræsentanter, samarbejde og samarbejdsudvalg. Fondens midler anvendes til finansiering af personaleorganisationernes udgifter ved tillidsrepræsentantens deltagelse i aktiviteter efter § 9 i Aftale om tillidsrepræsentanter, samarbejde og samarbejdsudvalg</w:t>
      </w:r>
      <w:r>
        <w:rPr>
          <w:sz w:val="18"/>
        </w:rPr>
        <w:t xml:space="preserve"> og § 15 i Rammeaftale om medindflydelse og medbestemmelse</w:t>
      </w:r>
      <w:r w:rsidR="00E773D4">
        <w:rPr>
          <w:sz w:val="18"/>
        </w:rPr>
        <w:t>.</w:t>
      </w:r>
    </w:p>
    <w:p w14:paraId="4DBB9FC9" w14:textId="77777777" w:rsidR="00E773D4" w:rsidRDefault="00E773D4">
      <w:pPr>
        <w:tabs>
          <w:tab w:val="left" w:pos="709"/>
        </w:tabs>
        <w:rPr>
          <w:sz w:val="18"/>
        </w:rPr>
      </w:pPr>
      <w:r>
        <w:rPr>
          <w:sz w:val="18"/>
        </w:rPr>
        <w:t xml:space="preserve">Stk. 2 </w:t>
      </w:r>
    </w:p>
    <w:p w14:paraId="4DBB9FCA" w14:textId="3ECAF5F5" w:rsidR="00E773D4" w:rsidRDefault="007064B4">
      <w:pPr>
        <w:tabs>
          <w:tab w:val="left" w:pos="709"/>
        </w:tabs>
        <w:rPr>
          <w:sz w:val="18"/>
        </w:rPr>
      </w:pPr>
      <w:r>
        <w:rPr>
          <w:sz w:val="18"/>
        </w:rPr>
        <w:t>De bidrag, der fremgår af det til enhver tid gældende protokollat til Aftale om</w:t>
      </w:r>
      <w:r w:rsidR="007306D8">
        <w:rPr>
          <w:sz w:val="18"/>
        </w:rPr>
        <w:t xml:space="preserve"> tillidsrepræsentanter, samarbejde og samarbejdsudvalg og Rammeaftale om medindflydelse og medbestemmelse indbetales fra kommunerne </w:t>
      </w:r>
      <w:r w:rsidR="00A72635">
        <w:rPr>
          <w:sz w:val="18"/>
        </w:rPr>
        <w:t xml:space="preserve">og regionerne </w:t>
      </w:r>
      <w:r w:rsidR="007306D8">
        <w:rPr>
          <w:sz w:val="18"/>
        </w:rPr>
        <w:t xml:space="preserve">til AKUT-fonden henholdsvis 1. januar og 1. juli i hvert </w:t>
      </w:r>
      <w:proofErr w:type="spellStart"/>
      <w:r w:rsidR="007306D8">
        <w:rPr>
          <w:sz w:val="18"/>
        </w:rPr>
        <w:t>overenskomstår</w:t>
      </w:r>
      <w:proofErr w:type="spellEnd"/>
      <w:r w:rsidR="007306D8">
        <w:rPr>
          <w:sz w:val="18"/>
        </w:rPr>
        <w:t xml:space="preserve"> (1. april – 31. marts).</w:t>
      </w:r>
    </w:p>
    <w:p w14:paraId="4DBB9FCB" w14:textId="77777777" w:rsidR="007306D8" w:rsidRDefault="007306D8" w:rsidP="00CF6DBB">
      <w:pPr>
        <w:tabs>
          <w:tab w:val="left" w:pos="709"/>
        </w:tabs>
        <w:spacing w:before="120"/>
        <w:rPr>
          <w:sz w:val="18"/>
        </w:rPr>
      </w:pPr>
      <w:r>
        <w:rPr>
          <w:sz w:val="18"/>
        </w:rPr>
        <w:t>Indbetalingen sker på baggrund af en løbende optælling af de ATP-pligtige timer i de seneste 6 måneder umiddelbart forud for indbetalingstidspunktet, dvs. 1. juli til 31. december og 1. januar til 30. juni.</w:t>
      </w:r>
    </w:p>
    <w:p w14:paraId="4DBB9FCC" w14:textId="0B4A7DD7" w:rsidR="00E773D4" w:rsidRDefault="00E773D4" w:rsidP="00CF6DBB">
      <w:pPr>
        <w:tabs>
          <w:tab w:val="left" w:pos="709"/>
        </w:tabs>
        <w:spacing w:before="120" w:after="120"/>
        <w:rPr>
          <w:sz w:val="18"/>
        </w:rPr>
      </w:pPr>
      <w:r>
        <w:rPr>
          <w:sz w:val="18"/>
        </w:rPr>
        <w:t>Omkostningerne ved bidragenes beregning og indbetaling afholdes af de berørte kommuner</w:t>
      </w:r>
      <w:r w:rsidR="00A72635">
        <w:rPr>
          <w:sz w:val="18"/>
        </w:rPr>
        <w:t xml:space="preserve"> og regioner</w:t>
      </w:r>
      <w:r>
        <w:rPr>
          <w:sz w:val="18"/>
        </w:rPr>
        <w:t>.</w:t>
      </w:r>
    </w:p>
    <w:p w14:paraId="4DBB9FCD" w14:textId="77777777" w:rsidR="00E773D4" w:rsidRDefault="00E773D4">
      <w:pPr>
        <w:tabs>
          <w:tab w:val="left" w:pos="709"/>
        </w:tabs>
        <w:rPr>
          <w:sz w:val="18"/>
        </w:rPr>
      </w:pPr>
      <w:r>
        <w:rPr>
          <w:sz w:val="18"/>
        </w:rPr>
        <w:t>Stk. 3</w:t>
      </w:r>
    </w:p>
    <w:p w14:paraId="4DBB9FCE" w14:textId="77777777" w:rsidR="00E773D4" w:rsidRDefault="00E773D4" w:rsidP="00CF6DBB">
      <w:pPr>
        <w:tabs>
          <w:tab w:val="left" w:pos="709"/>
        </w:tabs>
        <w:spacing w:after="120"/>
        <w:rPr>
          <w:sz w:val="18"/>
        </w:rPr>
      </w:pPr>
      <w:r>
        <w:rPr>
          <w:sz w:val="18"/>
        </w:rPr>
        <w:t>De til enhver tid tilstedeværende likvide midler anbringes på giro- og/eller bankkonto i fondens navn. Udgifterne til fondens administration, herunder udgifter til revisionen af fondens regnskab, afholdes af de indbetalte bidrag med påløbne renter, inden udlodning finder sted til de forhandlingsberettigede personaleorganisationer. Disposition over fondens giro- og bankkonti kræver underskrift af to personer, som er bemyndiget hertil, jf. § 4, stk. 2, nr. 3.</w:t>
      </w:r>
    </w:p>
    <w:p w14:paraId="4DBB9FCF" w14:textId="77777777" w:rsidR="00E773D4" w:rsidRDefault="00E773D4">
      <w:pPr>
        <w:tabs>
          <w:tab w:val="left" w:pos="709"/>
        </w:tabs>
        <w:rPr>
          <w:sz w:val="18"/>
        </w:rPr>
      </w:pPr>
      <w:r>
        <w:rPr>
          <w:sz w:val="18"/>
        </w:rPr>
        <w:t>Stk. 4</w:t>
      </w:r>
    </w:p>
    <w:p w14:paraId="4DBB9FD0" w14:textId="77777777" w:rsidR="00E773D4" w:rsidRDefault="00E773D4">
      <w:pPr>
        <w:tabs>
          <w:tab w:val="left" w:pos="709"/>
        </w:tabs>
        <w:rPr>
          <w:sz w:val="18"/>
        </w:rPr>
      </w:pPr>
      <w:r>
        <w:rPr>
          <w:sz w:val="18"/>
        </w:rPr>
        <w:t>De til fonden indbetalte midler – med tillæg af renter og med fradrag af administrationsbidrag (jf. stk. 3) – anvises til den enkelte personaleorganisation senest én måned efter indbetalingerne. Efter aftale med den berørte personaleorganisation kan indbetaling dog ske til vedkommende hovedorganisation.</w:t>
      </w:r>
    </w:p>
    <w:p w14:paraId="4DBB9FD1" w14:textId="77777777" w:rsidR="00E773D4" w:rsidRDefault="00E773D4">
      <w:pPr>
        <w:tabs>
          <w:tab w:val="left" w:pos="709"/>
        </w:tabs>
        <w:rPr>
          <w:sz w:val="18"/>
        </w:rPr>
      </w:pPr>
    </w:p>
    <w:p w14:paraId="4DBB9FD2" w14:textId="77777777" w:rsidR="00E773D4" w:rsidRDefault="00E773D4">
      <w:pPr>
        <w:tabs>
          <w:tab w:val="left" w:pos="709"/>
        </w:tabs>
        <w:rPr>
          <w:b/>
          <w:sz w:val="18"/>
        </w:rPr>
      </w:pPr>
      <w:r>
        <w:rPr>
          <w:b/>
          <w:sz w:val="18"/>
        </w:rPr>
        <w:t>§ 3. Fondens Regnskab og revision</w:t>
      </w:r>
    </w:p>
    <w:p w14:paraId="4DBB9FD3" w14:textId="77777777" w:rsidR="00E773D4" w:rsidRDefault="00E773D4" w:rsidP="00CF6DBB">
      <w:pPr>
        <w:tabs>
          <w:tab w:val="left" w:pos="709"/>
        </w:tabs>
        <w:spacing w:before="120"/>
        <w:rPr>
          <w:sz w:val="18"/>
        </w:rPr>
      </w:pPr>
      <w:r>
        <w:rPr>
          <w:sz w:val="18"/>
        </w:rPr>
        <w:t>Stk. 1</w:t>
      </w:r>
    </w:p>
    <w:p w14:paraId="4DBB9FD4" w14:textId="77777777" w:rsidR="00E773D4" w:rsidRDefault="00E773D4" w:rsidP="00CF6DBB">
      <w:pPr>
        <w:tabs>
          <w:tab w:val="left" w:pos="709"/>
        </w:tabs>
        <w:spacing w:after="120"/>
        <w:rPr>
          <w:sz w:val="18"/>
        </w:rPr>
      </w:pPr>
      <w:r>
        <w:rPr>
          <w:sz w:val="18"/>
        </w:rPr>
        <w:t>Fondens regnskabsår er kalenderåret.</w:t>
      </w:r>
    </w:p>
    <w:p w14:paraId="4DBB9FD5" w14:textId="77777777" w:rsidR="00E773D4" w:rsidRDefault="00E773D4">
      <w:pPr>
        <w:tabs>
          <w:tab w:val="left" w:pos="709"/>
        </w:tabs>
        <w:rPr>
          <w:sz w:val="18"/>
        </w:rPr>
      </w:pPr>
      <w:r>
        <w:rPr>
          <w:sz w:val="18"/>
        </w:rPr>
        <w:t>Stk. 2</w:t>
      </w:r>
    </w:p>
    <w:p w14:paraId="4DBB9FD6" w14:textId="77777777" w:rsidR="00E773D4" w:rsidRDefault="00E773D4" w:rsidP="00CF6DBB">
      <w:pPr>
        <w:tabs>
          <w:tab w:val="left" w:pos="709"/>
        </w:tabs>
        <w:spacing w:after="120"/>
        <w:rPr>
          <w:sz w:val="18"/>
        </w:rPr>
      </w:pPr>
      <w:r>
        <w:rPr>
          <w:sz w:val="18"/>
        </w:rPr>
        <w:t xml:space="preserve">Senest den 1. juli hvert år sender de personaleorganisationer, henholdsvis hovedorganisationer, som har modtaget midler (jf. § 2, stk. 4), til fonden et regnskab over anvendelsen af de i det foregående regnskabsår modtagne midler, jf. § 2, stk. 1. </w:t>
      </w:r>
      <w:r w:rsidR="007306D8">
        <w:rPr>
          <w:sz w:val="18"/>
        </w:rPr>
        <w:t>Den sekretariatsmæssige koordineringsgruppe, jf. § 4, stk. 1, kan stille krav til regnskabsaflæggelsens form og indhold. R</w:t>
      </w:r>
      <w:r>
        <w:rPr>
          <w:sz w:val="18"/>
        </w:rPr>
        <w:t>egnskaber</w:t>
      </w:r>
      <w:r w:rsidR="007306D8">
        <w:rPr>
          <w:sz w:val="18"/>
        </w:rPr>
        <w:t>ne</w:t>
      </w:r>
      <w:r>
        <w:rPr>
          <w:sz w:val="18"/>
        </w:rPr>
        <w:t xml:space="preserve"> skal være revideret af en statsautoriseret eller </w:t>
      </w:r>
      <w:r>
        <w:rPr>
          <w:sz w:val="18"/>
        </w:rPr>
        <w:t>registreret revisor</w:t>
      </w:r>
      <w:r w:rsidR="007306D8">
        <w:rPr>
          <w:sz w:val="18"/>
        </w:rPr>
        <w:t>, medmindre det beløb, der af fonden er udbetalt i det foregående regnskabsår, er under kr. 30.000</w:t>
      </w:r>
      <w:r>
        <w:rPr>
          <w:sz w:val="18"/>
        </w:rPr>
        <w:t>.</w:t>
      </w:r>
    </w:p>
    <w:p w14:paraId="4DBB9FD7" w14:textId="77777777" w:rsidR="00E773D4" w:rsidRDefault="00E773D4">
      <w:pPr>
        <w:tabs>
          <w:tab w:val="left" w:pos="709"/>
        </w:tabs>
        <w:rPr>
          <w:sz w:val="18"/>
        </w:rPr>
      </w:pPr>
      <w:r>
        <w:rPr>
          <w:sz w:val="18"/>
        </w:rPr>
        <w:t>Stk. 3</w:t>
      </w:r>
    </w:p>
    <w:p w14:paraId="4DBB9FD8" w14:textId="43CA5FAC" w:rsidR="00E773D4" w:rsidRDefault="00E773D4">
      <w:pPr>
        <w:numPr>
          <w:ilvl w:val="0"/>
          <w:numId w:val="2"/>
        </w:numPr>
        <w:tabs>
          <w:tab w:val="left" w:pos="709"/>
        </w:tabs>
        <w:rPr>
          <w:sz w:val="18"/>
        </w:rPr>
      </w:pPr>
      <w:r>
        <w:rPr>
          <w:sz w:val="18"/>
        </w:rPr>
        <w:t xml:space="preserve">Revisionen af fondens regnskab varetages af </w:t>
      </w:r>
      <w:r w:rsidR="00A72635">
        <w:rPr>
          <w:sz w:val="18"/>
        </w:rPr>
        <w:t>et statsautoriseret revisionsselskab, som der er enighed om mellem parterne</w:t>
      </w:r>
      <w:r>
        <w:rPr>
          <w:sz w:val="18"/>
        </w:rPr>
        <w:t>.</w:t>
      </w:r>
    </w:p>
    <w:p w14:paraId="4DBB9FD9" w14:textId="77777777" w:rsidR="00E773D4" w:rsidRDefault="00E773D4">
      <w:pPr>
        <w:numPr>
          <w:ilvl w:val="0"/>
          <w:numId w:val="2"/>
        </w:numPr>
        <w:tabs>
          <w:tab w:val="left" w:pos="709"/>
        </w:tabs>
        <w:rPr>
          <w:sz w:val="18"/>
        </w:rPr>
      </w:pPr>
      <w:r>
        <w:rPr>
          <w:sz w:val="18"/>
        </w:rPr>
        <w:t>Det reviderede regnskab sendes til den sekretariatsmæssige koordineringsgruppe (jf. § 4, stk. 2) senest den 1. maj hvert år.</w:t>
      </w:r>
    </w:p>
    <w:p w14:paraId="4DBB9FDA" w14:textId="77777777" w:rsidR="00E773D4" w:rsidRDefault="00E773D4">
      <w:pPr>
        <w:tabs>
          <w:tab w:val="left" w:pos="709"/>
        </w:tabs>
        <w:rPr>
          <w:sz w:val="18"/>
        </w:rPr>
      </w:pPr>
    </w:p>
    <w:p w14:paraId="4DBB9FDB" w14:textId="77777777" w:rsidR="00E773D4" w:rsidRDefault="00E773D4">
      <w:pPr>
        <w:tabs>
          <w:tab w:val="left" w:pos="709"/>
        </w:tabs>
        <w:rPr>
          <w:b/>
          <w:sz w:val="18"/>
        </w:rPr>
      </w:pPr>
      <w:r>
        <w:rPr>
          <w:b/>
          <w:sz w:val="18"/>
        </w:rPr>
        <w:t>§ 4. Tilsyn med fonden</w:t>
      </w:r>
    </w:p>
    <w:p w14:paraId="4DBB9FDC" w14:textId="77777777" w:rsidR="00E773D4" w:rsidRDefault="00E773D4" w:rsidP="00CF6DBB">
      <w:pPr>
        <w:tabs>
          <w:tab w:val="left" w:pos="709"/>
        </w:tabs>
        <w:spacing w:before="120"/>
        <w:rPr>
          <w:sz w:val="18"/>
        </w:rPr>
      </w:pPr>
      <w:r>
        <w:rPr>
          <w:sz w:val="18"/>
        </w:rPr>
        <w:t>Stk. 1</w:t>
      </w:r>
    </w:p>
    <w:p w14:paraId="4DBB9FDD" w14:textId="5622A885" w:rsidR="00E773D4" w:rsidRDefault="00E773D4" w:rsidP="00CF6DBB">
      <w:pPr>
        <w:tabs>
          <w:tab w:val="left" w:pos="709"/>
        </w:tabs>
        <w:spacing w:after="120"/>
        <w:rPr>
          <w:sz w:val="18"/>
        </w:rPr>
      </w:pPr>
      <w:r>
        <w:rPr>
          <w:sz w:val="18"/>
        </w:rPr>
        <w:t xml:space="preserve">I medfør af KTO-forliget pr. 1. april 1995 er der nedsat en sekretariatsmæssig koordinationsgruppe med deltagelse fra </w:t>
      </w:r>
      <w:r w:rsidR="00A72635">
        <w:rPr>
          <w:sz w:val="18"/>
        </w:rPr>
        <w:t>Forhandlingsfællesskabet</w:t>
      </w:r>
      <w:r>
        <w:rPr>
          <w:sz w:val="18"/>
        </w:rPr>
        <w:t xml:space="preserve">, </w:t>
      </w:r>
      <w:r w:rsidR="00A72635">
        <w:rPr>
          <w:sz w:val="18"/>
        </w:rPr>
        <w:t xml:space="preserve">Regionernes Lønnings- og Takstnævn </w:t>
      </w:r>
      <w:r>
        <w:rPr>
          <w:sz w:val="18"/>
        </w:rPr>
        <w:t>og K</w:t>
      </w:r>
      <w:r w:rsidR="00A72635">
        <w:rPr>
          <w:sz w:val="18"/>
        </w:rPr>
        <w:t>L</w:t>
      </w:r>
      <w:r>
        <w:rPr>
          <w:sz w:val="18"/>
        </w:rPr>
        <w:t>.</w:t>
      </w:r>
    </w:p>
    <w:p w14:paraId="4DBB9FDE" w14:textId="77777777" w:rsidR="00E773D4" w:rsidRDefault="00E773D4">
      <w:pPr>
        <w:tabs>
          <w:tab w:val="left" w:pos="709"/>
        </w:tabs>
        <w:rPr>
          <w:sz w:val="18"/>
        </w:rPr>
      </w:pPr>
      <w:r>
        <w:rPr>
          <w:sz w:val="18"/>
        </w:rPr>
        <w:t>Stk. 2</w:t>
      </w:r>
    </w:p>
    <w:p w14:paraId="4DBB9FDF" w14:textId="77777777" w:rsidR="00E773D4" w:rsidRDefault="00E773D4">
      <w:pPr>
        <w:tabs>
          <w:tab w:val="left" w:pos="709"/>
        </w:tabs>
        <w:rPr>
          <w:sz w:val="18"/>
        </w:rPr>
      </w:pPr>
      <w:r>
        <w:rPr>
          <w:sz w:val="18"/>
        </w:rPr>
        <w:t>I relation til denne aftale er det koordineringsgruppens opgave</w:t>
      </w:r>
    </w:p>
    <w:p w14:paraId="4DBB9FE0" w14:textId="77777777" w:rsidR="00E773D4" w:rsidRDefault="00E773D4">
      <w:pPr>
        <w:numPr>
          <w:ilvl w:val="0"/>
          <w:numId w:val="3"/>
        </w:numPr>
        <w:tabs>
          <w:tab w:val="left" w:pos="709"/>
        </w:tabs>
        <w:rPr>
          <w:sz w:val="18"/>
        </w:rPr>
      </w:pPr>
      <w:r>
        <w:rPr>
          <w:sz w:val="18"/>
        </w:rPr>
        <w:t>at føre tilsyn med fondens virksomhed,</w:t>
      </w:r>
    </w:p>
    <w:p w14:paraId="4DBB9FE1" w14:textId="77777777" w:rsidR="00E773D4" w:rsidRDefault="00E773D4">
      <w:pPr>
        <w:numPr>
          <w:ilvl w:val="0"/>
          <w:numId w:val="3"/>
        </w:numPr>
        <w:tabs>
          <w:tab w:val="left" w:pos="709"/>
        </w:tabs>
        <w:rPr>
          <w:sz w:val="18"/>
        </w:rPr>
      </w:pPr>
      <w:r>
        <w:rPr>
          <w:sz w:val="18"/>
        </w:rPr>
        <w:t>at godkende et årligt budget for fondens administration, herunder at fastsætte et á conto administrationsbidrag, jf. § 2, stk. 3,</w:t>
      </w:r>
    </w:p>
    <w:p w14:paraId="4DBB9FE2" w14:textId="77777777" w:rsidR="00E773D4" w:rsidRDefault="00E773D4">
      <w:pPr>
        <w:numPr>
          <w:ilvl w:val="0"/>
          <w:numId w:val="3"/>
        </w:numPr>
        <w:tabs>
          <w:tab w:val="left" w:pos="709"/>
        </w:tabs>
        <w:rPr>
          <w:sz w:val="18"/>
        </w:rPr>
      </w:pPr>
      <w:r>
        <w:rPr>
          <w:sz w:val="18"/>
        </w:rPr>
        <w:t>at give underskriftsbemyndigelse til disposition over fondens giro- og bankkonto, jf. § 2, stk. 3,</w:t>
      </w:r>
    </w:p>
    <w:p w14:paraId="4DBB9FE3" w14:textId="77777777" w:rsidR="00E773D4" w:rsidRDefault="00E773D4">
      <w:pPr>
        <w:numPr>
          <w:ilvl w:val="0"/>
          <w:numId w:val="3"/>
        </w:numPr>
        <w:tabs>
          <w:tab w:val="left" w:pos="709"/>
        </w:tabs>
        <w:rPr>
          <w:sz w:val="18"/>
        </w:rPr>
      </w:pPr>
      <w:r>
        <w:rPr>
          <w:sz w:val="18"/>
        </w:rPr>
        <w:t>at have indseende med anvendelse af fondens midler, jf. § 2, stk. 1,</w:t>
      </w:r>
    </w:p>
    <w:p w14:paraId="4DBB9FE4" w14:textId="77777777" w:rsidR="00E773D4" w:rsidRDefault="00E773D4" w:rsidP="00CF6DBB">
      <w:pPr>
        <w:numPr>
          <w:ilvl w:val="0"/>
          <w:numId w:val="3"/>
        </w:numPr>
        <w:tabs>
          <w:tab w:val="left" w:pos="709"/>
        </w:tabs>
        <w:spacing w:after="120"/>
        <w:ind w:left="357" w:hanging="357"/>
        <w:rPr>
          <w:sz w:val="18"/>
        </w:rPr>
      </w:pPr>
      <w:r>
        <w:rPr>
          <w:sz w:val="18"/>
        </w:rPr>
        <w:t>at godkende det i § 3, stk. 3, nævnte regnskab</w:t>
      </w:r>
    </w:p>
    <w:p w14:paraId="4DBB9FE5" w14:textId="77777777" w:rsidR="00E773D4" w:rsidRDefault="00E773D4">
      <w:pPr>
        <w:tabs>
          <w:tab w:val="left" w:pos="709"/>
        </w:tabs>
        <w:rPr>
          <w:sz w:val="18"/>
        </w:rPr>
      </w:pPr>
      <w:r>
        <w:rPr>
          <w:sz w:val="18"/>
        </w:rPr>
        <w:t>Stk. 3</w:t>
      </w:r>
    </w:p>
    <w:p w14:paraId="4DBB9FE6" w14:textId="04B671A9" w:rsidR="00E773D4" w:rsidRDefault="00E773D4">
      <w:pPr>
        <w:tabs>
          <w:tab w:val="left" w:pos="709"/>
        </w:tabs>
        <w:rPr>
          <w:sz w:val="18"/>
        </w:rPr>
      </w:pPr>
      <w:r>
        <w:rPr>
          <w:sz w:val="18"/>
        </w:rPr>
        <w:t xml:space="preserve">Selskabsretligt tegnes fonden af </w:t>
      </w:r>
      <w:r w:rsidR="00A72635">
        <w:rPr>
          <w:sz w:val="18"/>
        </w:rPr>
        <w:t>en af KL og RLTN udpeget repræsentant</w:t>
      </w:r>
      <w:r>
        <w:rPr>
          <w:sz w:val="18"/>
        </w:rPr>
        <w:t xml:space="preserve"> og formanden for </w:t>
      </w:r>
      <w:r w:rsidR="00A72635">
        <w:rPr>
          <w:sz w:val="18"/>
        </w:rPr>
        <w:t>Forhandlingsfællesskabet</w:t>
      </w:r>
      <w:r>
        <w:rPr>
          <w:sz w:val="18"/>
        </w:rPr>
        <w:t>.</w:t>
      </w:r>
    </w:p>
    <w:p w14:paraId="4DBB9FE7" w14:textId="77777777" w:rsidR="00E773D4" w:rsidRDefault="00E773D4">
      <w:pPr>
        <w:tabs>
          <w:tab w:val="left" w:pos="709"/>
        </w:tabs>
        <w:rPr>
          <w:sz w:val="18"/>
        </w:rPr>
      </w:pPr>
    </w:p>
    <w:p w14:paraId="4DBB9FE8" w14:textId="77777777" w:rsidR="00E773D4" w:rsidRDefault="00E773D4" w:rsidP="00CF6DBB">
      <w:pPr>
        <w:tabs>
          <w:tab w:val="left" w:pos="709"/>
        </w:tabs>
        <w:spacing w:before="120"/>
        <w:rPr>
          <w:b/>
          <w:sz w:val="18"/>
        </w:rPr>
      </w:pPr>
      <w:r>
        <w:rPr>
          <w:b/>
          <w:sz w:val="18"/>
        </w:rPr>
        <w:t xml:space="preserve">§ </w:t>
      </w:r>
      <w:r w:rsidR="00A81CE9">
        <w:rPr>
          <w:b/>
          <w:sz w:val="18"/>
        </w:rPr>
        <w:t>5</w:t>
      </w:r>
      <w:r>
        <w:rPr>
          <w:b/>
          <w:sz w:val="18"/>
        </w:rPr>
        <w:t>. Ikrafttræden og opsigelse af vedtægterne</w:t>
      </w:r>
    </w:p>
    <w:p w14:paraId="4DBB9FE9" w14:textId="77777777" w:rsidR="00E773D4" w:rsidRDefault="00E773D4">
      <w:pPr>
        <w:tabs>
          <w:tab w:val="left" w:pos="709"/>
        </w:tabs>
        <w:rPr>
          <w:sz w:val="18"/>
        </w:rPr>
      </w:pPr>
      <w:r>
        <w:rPr>
          <w:sz w:val="18"/>
        </w:rPr>
        <w:t>Stk. 1</w:t>
      </w:r>
    </w:p>
    <w:p w14:paraId="4DBB9FEA" w14:textId="6633113F" w:rsidR="00E773D4" w:rsidRDefault="00E773D4" w:rsidP="00CF6DBB">
      <w:pPr>
        <w:tabs>
          <w:tab w:val="left" w:pos="709"/>
        </w:tabs>
        <w:spacing w:after="120"/>
        <w:rPr>
          <w:sz w:val="18"/>
        </w:rPr>
      </w:pPr>
      <w:r>
        <w:rPr>
          <w:sz w:val="18"/>
        </w:rPr>
        <w:t xml:space="preserve">Vedtægterne træder i kraft den 1. april </w:t>
      </w:r>
      <w:r w:rsidR="00AC3584">
        <w:rPr>
          <w:sz w:val="18"/>
        </w:rPr>
        <w:t>20</w:t>
      </w:r>
      <w:r w:rsidR="00A72635">
        <w:rPr>
          <w:sz w:val="18"/>
        </w:rPr>
        <w:t>1</w:t>
      </w:r>
      <w:r>
        <w:rPr>
          <w:sz w:val="18"/>
        </w:rPr>
        <w:t>5.</w:t>
      </w:r>
    </w:p>
    <w:p w14:paraId="4DBB9FEB" w14:textId="77777777" w:rsidR="00E773D4" w:rsidRDefault="00E773D4">
      <w:pPr>
        <w:tabs>
          <w:tab w:val="left" w:pos="709"/>
        </w:tabs>
        <w:rPr>
          <w:sz w:val="18"/>
        </w:rPr>
      </w:pPr>
      <w:r>
        <w:rPr>
          <w:sz w:val="18"/>
        </w:rPr>
        <w:t>Stk. 2</w:t>
      </w:r>
    </w:p>
    <w:p w14:paraId="4DBB9FEC" w14:textId="0868CED8" w:rsidR="00E773D4" w:rsidRDefault="00E773D4" w:rsidP="00CF6DBB">
      <w:pPr>
        <w:tabs>
          <w:tab w:val="left" w:pos="709"/>
        </w:tabs>
        <w:spacing w:after="120"/>
        <w:rPr>
          <w:sz w:val="18"/>
        </w:rPr>
      </w:pPr>
      <w:r>
        <w:rPr>
          <w:sz w:val="18"/>
        </w:rPr>
        <w:t xml:space="preserve">Vedtægterne af 1. </w:t>
      </w:r>
      <w:r w:rsidR="00A72635">
        <w:rPr>
          <w:sz w:val="18"/>
        </w:rPr>
        <w:t xml:space="preserve">24. maj 2005 </w:t>
      </w:r>
      <w:r>
        <w:rPr>
          <w:sz w:val="18"/>
        </w:rPr>
        <w:t>for AKUT ophæves.</w:t>
      </w:r>
    </w:p>
    <w:p w14:paraId="4DBB9FED" w14:textId="77777777" w:rsidR="00E773D4" w:rsidRDefault="00E773D4">
      <w:pPr>
        <w:tabs>
          <w:tab w:val="left" w:pos="709"/>
        </w:tabs>
        <w:rPr>
          <w:sz w:val="18"/>
        </w:rPr>
      </w:pPr>
      <w:r>
        <w:rPr>
          <w:sz w:val="18"/>
        </w:rPr>
        <w:t>Stk. 3</w:t>
      </w:r>
    </w:p>
    <w:p w14:paraId="4DBB9FEE" w14:textId="37D3F8BB" w:rsidR="00E773D4" w:rsidRDefault="00E773D4">
      <w:pPr>
        <w:tabs>
          <w:tab w:val="left" w:pos="709"/>
        </w:tabs>
        <w:rPr>
          <w:sz w:val="18"/>
        </w:rPr>
      </w:pPr>
      <w:r>
        <w:rPr>
          <w:sz w:val="18"/>
        </w:rPr>
        <w:t xml:space="preserve">Hvis </w:t>
      </w:r>
      <w:r w:rsidR="00AC3584">
        <w:rPr>
          <w:sz w:val="18"/>
        </w:rPr>
        <w:t xml:space="preserve">både </w:t>
      </w:r>
      <w:r>
        <w:rPr>
          <w:sz w:val="18"/>
        </w:rPr>
        <w:t>Aftale om tillidsrepræsentanter, samarbejde og samarbejdsudvalg</w:t>
      </w:r>
      <w:r w:rsidR="00AC3584">
        <w:rPr>
          <w:sz w:val="18"/>
        </w:rPr>
        <w:t xml:space="preserve"> og Rammeaftale om medindflydelse og medbestemmelse</w:t>
      </w:r>
      <w:r>
        <w:rPr>
          <w:sz w:val="18"/>
        </w:rPr>
        <w:t xml:space="preserve"> opsiges af en eller flere af dennes parter, jf. § </w:t>
      </w:r>
      <w:r w:rsidR="00AC3584">
        <w:rPr>
          <w:sz w:val="18"/>
        </w:rPr>
        <w:t xml:space="preserve">30 i Aftale om </w:t>
      </w:r>
      <w:r w:rsidR="00730E58">
        <w:rPr>
          <w:sz w:val="18"/>
        </w:rPr>
        <w:t>tillidsrepræsentanter, samarbejde og samarbejdsudvalg og § 24</w:t>
      </w:r>
      <w:r w:rsidR="00A72635">
        <w:rPr>
          <w:sz w:val="18"/>
        </w:rPr>
        <w:t xml:space="preserve"> (KL)</w:t>
      </w:r>
      <w:r w:rsidR="00730E58">
        <w:rPr>
          <w:sz w:val="18"/>
        </w:rPr>
        <w:t xml:space="preserve"> </w:t>
      </w:r>
      <w:r w:rsidR="00A72635">
        <w:rPr>
          <w:sz w:val="18"/>
        </w:rPr>
        <w:t xml:space="preserve">/ § 23 (RLTN) </w:t>
      </w:r>
      <w:r w:rsidR="00730E58">
        <w:rPr>
          <w:sz w:val="18"/>
        </w:rPr>
        <w:t>i Rammeaftale om medindflydelse og medbestemmelse</w:t>
      </w:r>
      <w:r>
        <w:rPr>
          <w:sz w:val="18"/>
        </w:rPr>
        <w:t xml:space="preserve">, betragtes vedtægterne i relation til den (de) opsigende part(er) </w:t>
      </w:r>
      <w:r w:rsidR="00730E58">
        <w:rPr>
          <w:sz w:val="18"/>
        </w:rPr>
        <w:t xml:space="preserve">automatisk </w:t>
      </w:r>
      <w:r>
        <w:rPr>
          <w:sz w:val="18"/>
        </w:rPr>
        <w:t>som opsagt til udløb pr. samme dato som Aftale om tillidsrepræsentanter, samarbejde og samarbejdsudvalg</w:t>
      </w:r>
      <w:r w:rsidR="00730E58">
        <w:rPr>
          <w:sz w:val="18"/>
        </w:rPr>
        <w:t xml:space="preserve"> og Rammeaftale om medindflydelse og medbestemmelse</w:t>
      </w:r>
      <w:r>
        <w:rPr>
          <w:sz w:val="18"/>
        </w:rPr>
        <w:t>.</w:t>
      </w:r>
    </w:p>
    <w:p w14:paraId="4DBB9FEF" w14:textId="77777777" w:rsidR="00E773D4" w:rsidRDefault="00E773D4">
      <w:pPr>
        <w:tabs>
          <w:tab w:val="left" w:pos="709"/>
        </w:tabs>
        <w:rPr>
          <w:sz w:val="18"/>
        </w:rPr>
      </w:pPr>
    </w:p>
    <w:sectPr w:rsidR="00E773D4" w:rsidSect="0030096F">
      <w:type w:val="continuous"/>
      <w:pgSz w:w="11906" w:h="16838"/>
      <w:pgMar w:top="1701" w:right="1134" w:bottom="1701" w:left="1134" w:header="708" w:footer="708"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8E938" w14:textId="77777777" w:rsidR="006A793C" w:rsidRDefault="006A793C" w:rsidP="00EB4C73">
      <w:r>
        <w:separator/>
      </w:r>
    </w:p>
  </w:endnote>
  <w:endnote w:type="continuationSeparator" w:id="0">
    <w:p w14:paraId="2D1BD427" w14:textId="77777777" w:rsidR="006A793C" w:rsidRDefault="006A793C" w:rsidP="00EB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62152" w14:textId="77777777" w:rsidR="006A793C" w:rsidRDefault="006A793C" w:rsidP="00EB4C73">
      <w:r>
        <w:separator/>
      </w:r>
    </w:p>
  </w:footnote>
  <w:footnote w:type="continuationSeparator" w:id="0">
    <w:p w14:paraId="1C1E3C2D" w14:textId="77777777" w:rsidR="006A793C" w:rsidRDefault="006A793C" w:rsidP="00EB4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708D7"/>
    <w:multiLevelType w:val="singleLevel"/>
    <w:tmpl w:val="04060011"/>
    <w:lvl w:ilvl="0">
      <w:start w:val="1"/>
      <w:numFmt w:val="decimal"/>
      <w:lvlText w:val="%1)"/>
      <w:lvlJc w:val="left"/>
      <w:pPr>
        <w:tabs>
          <w:tab w:val="num" w:pos="360"/>
        </w:tabs>
        <w:ind w:left="360" w:hanging="360"/>
      </w:pPr>
      <w:rPr>
        <w:rFonts w:hint="default"/>
      </w:rPr>
    </w:lvl>
  </w:abstractNum>
  <w:abstractNum w:abstractNumId="1" w15:restartNumberingAfterBreak="0">
    <w:nsid w:val="47C3523D"/>
    <w:multiLevelType w:val="singleLevel"/>
    <w:tmpl w:val="04060011"/>
    <w:lvl w:ilvl="0">
      <w:start w:val="1"/>
      <w:numFmt w:val="decimal"/>
      <w:lvlText w:val="%1)"/>
      <w:lvlJc w:val="left"/>
      <w:pPr>
        <w:tabs>
          <w:tab w:val="num" w:pos="360"/>
        </w:tabs>
        <w:ind w:left="360" w:hanging="360"/>
      </w:pPr>
      <w:rPr>
        <w:rFonts w:hint="default"/>
      </w:rPr>
    </w:lvl>
  </w:abstractNum>
  <w:abstractNum w:abstractNumId="2" w15:restartNumberingAfterBreak="0">
    <w:nsid w:val="51377E4C"/>
    <w:multiLevelType w:val="hybridMultilevel"/>
    <w:tmpl w:val="5D226E72"/>
    <w:lvl w:ilvl="0" w:tplc="04060001">
      <w:start w:val="1"/>
      <w:numFmt w:val="bullet"/>
      <w:lvlText w:val=""/>
      <w:lvlJc w:val="left"/>
      <w:pPr>
        <w:ind w:left="720" w:hanging="360"/>
      </w:pPr>
      <w:rPr>
        <w:rFonts w:ascii="Symbol" w:hAnsi="Symbol" w:hint="default"/>
        <w:sz w:val="1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73A2DE3"/>
    <w:multiLevelType w:val="singleLevel"/>
    <w:tmpl w:val="527CD01C"/>
    <w:lvl w:ilvl="0">
      <w:numFmt w:val="bullet"/>
      <w:lvlText w:val="-"/>
      <w:lvlJc w:val="left"/>
      <w:pPr>
        <w:tabs>
          <w:tab w:val="num" w:pos="1065"/>
        </w:tabs>
        <w:ind w:left="1065" w:hanging="3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E1"/>
    <w:rsid w:val="00025A36"/>
    <w:rsid w:val="000678BE"/>
    <w:rsid w:val="000B20E7"/>
    <w:rsid w:val="000D5B6E"/>
    <w:rsid w:val="000E4F09"/>
    <w:rsid w:val="000F6B44"/>
    <w:rsid w:val="0015404A"/>
    <w:rsid w:val="001B1DCA"/>
    <w:rsid w:val="001C0F81"/>
    <w:rsid w:val="001E34D8"/>
    <w:rsid w:val="002A26B8"/>
    <w:rsid w:val="002E405C"/>
    <w:rsid w:val="002F5F03"/>
    <w:rsid w:val="002F76D1"/>
    <w:rsid w:val="003001F3"/>
    <w:rsid w:val="0030096F"/>
    <w:rsid w:val="00357DE8"/>
    <w:rsid w:val="00437F55"/>
    <w:rsid w:val="0047020C"/>
    <w:rsid w:val="004803E1"/>
    <w:rsid w:val="004866CB"/>
    <w:rsid w:val="00493130"/>
    <w:rsid w:val="004960F2"/>
    <w:rsid w:val="004A7F31"/>
    <w:rsid w:val="00526C15"/>
    <w:rsid w:val="006469B7"/>
    <w:rsid w:val="0065631E"/>
    <w:rsid w:val="0069413B"/>
    <w:rsid w:val="006A61B9"/>
    <w:rsid w:val="006A793C"/>
    <w:rsid w:val="007064B4"/>
    <w:rsid w:val="0071016A"/>
    <w:rsid w:val="007306D8"/>
    <w:rsid w:val="00730E58"/>
    <w:rsid w:val="00741E11"/>
    <w:rsid w:val="00754793"/>
    <w:rsid w:val="00764336"/>
    <w:rsid w:val="007F7CFE"/>
    <w:rsid w:val="00807150"/>
    <w:rsid w:val="00883F5F"/>
    <w:rsid w:val="008B120B"/>
    <w:rsid w:val="00973E39"/>
    <w:rsid w:val="00A03D28"/>
    <w:rsid w:val="00A629FD"/>
    <w:rsid w:val="00A72635"/>
    <w:rsid w:val="00A81CE9"/>
    <w:rsid w:val="00AA1D24"/>
    <w:rsid w:val="00AC3584"/>
    <w:rsid w:val="00B17CA2"/>
    <w:rsid w:val="00BD74E5"/>
    <w:rsid w:val="00C334BD"/>
    <w:rsid w:val="00C4688D"/>
    <w:rsid w:val="00C47704"/>
    <w:rsid w:val="00CD4486"/>
    <w:rsid w:val="00CE40B7"/>
    <w:rsid w:val="00CF6DBB"/>
    <w:rsid w:val="00D27CFB"/>
    <w:rsid w:val="00D40C59"/>
    <w:rsid w:val="00DD21D4"/>
    <w:rsid w:val="00E108CF"/>
    <w:rsid w:val="00E2093F"/>
    <w:rsid w:val="00E532B4"/>
    <w:rsid w:val="00E63363"/>
    <w:rsid w:val="00E65632"/>
    <w:rsid w:val="00E773D4"/>
    <w:rsid w:val="00E85498"/>
    <w:rsid w:val="00E85F64"/>
    <w:rsid w:val="00EB4C73"/>
    <w:rsid w:val="00ED4EE5"/>
    <w:rsid w:val="00F310F3"/>
    <w:rsid w:val="00F47CBD"/>
    <w:rsid w:val="00F51335"/>
    <w:rsid w:val="00F83E66"/>
    <w:rsid w:val="00FE376C"/>
    <w:rsid w:val="00FE5C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BB9F1D"/>
  <w15:docId w15:val="{847D4730-C5F5-4B88-9563-481A13AD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96F"/>
  </w:style>
  <w:style w:type="paragraph" w:styleId="Overskrift1">
    <w:name w:val="heading 1"/>
    <w:basedOn w:val="Normal"/>
    <w:next w:val="Normal"/>
    <w:qFormat/>
    <w:rsid w:val="0030096F"/>
    <w:pPr>
      <w:keepNext/>
      <w:outlineLvl w:val="0"/>
    </w:pPr>
    <w:rPr>
      <w:b/>
      <w:sz w:val="24"/>
    </w:rPr>
  </w:style>
  <w:style w:type="paragraph" w:styleId="Overskrift2">
    <w:name w:val="heading 2"/>
    <w:basedOn w:val="Normal"/>
    <w:next w:val="Normal"/>
    <w:qFormat/>
    <w:rsid w:val="0030096F"/>
    <w:pPr>
      <w:keepNext/>
      <w:outlineLvl w:val="1"/>
    </w:pPr>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qFormat/>
    <w:rsid w:val="0030096F"/>
    <w:pPr>
      <w:jc w:val="center"/>
    </w:pPr>
    <w:rPr>
      <w:b/>
      <w:sz w:val="28"/>
    </w:rPr>
  </w:style>
  <w:style w:type="paragraph" w:styleId="Billedtekst">
    <w:name w:val="caption"/>
    <w:basedOn w:val="Normal"/>
    <w:next w:val="Normal"/>
    <w:qFormat/>
    <w:rsid w:val="0030096F"/>
    <w:pPr>
      <w:tabs>
        <w:tab w:val="left" w:pos="709"/>
      </w:tabs>
      <w:jc w:val="center"/>
    </w:pPr>
    <w:rPr>
      <w:b/>
      <w:sz w:val="24"/>
    </w:rPr>
  </w:style>
  <w:style w:type="paragraph" w:styleId="Markeringsbobletekst">
    <w:name w:val="Balloon Text"/>
    <w:basedOn w:val="Normal"/>
    <w:link w:val="MarkeringsbobletekstTegn"/>
    <w:uiPriority w:val="99"/>
    <w:semiHidden/>
    <w:unhideWhenUsed/>
    <w:rsid w:val="004803E1"/>
    <w:rPr>
      <w:rFonts w:ascii="Tahoma" w:hAnsi="Tahoma" w:cs="Tahoma"/>
      <w:sz w:val="16"/>
      <w:szCs w:val="16"/>
    </w:rPr>
  </w:style>
  <w:style w:type="character" w:customStyle="1" w:styleId="MarkeringsbobletekstTegn">
    <w:name w:val="Markeringsbobletekst Tegn"/>
    <w:link w:val="Markeringsbobletekst"/>
    <w:uiPriority w:val="99"/>
    <w:semiHidden/>
    <w:rsid w:val="004803E1"/>
    <w:rPr>
      <w:rFonts w:ascii="Tahoma" w:hAnsi="Tahoma" w:cs="Tahoma"/>
      <w:sz w:val="16"/>
      <w:szCs w:val="16"/>
    </w:rPr>
  </w:style>
  <w:style w:type="character" w:styleId="Kommentarhenvisning">
    <w:name w:val="annotation reference"/>
    <w:uiPriority w:val="99"/>
    <w:semiHidden/>
    <w:unhideWhenUsed/>
    <w:rsid w:val="00493130"/>
    <w:rPr>
      <w:sz w:val="16"/>
      <w:szCs w:val="16"/>
    </w:rPr>
  </w:style>
  <w:style w:type="paragraph" w:styleId="Kommentartekst">
    <w:name w:val="annotation text"/>
    <w:basedOn w:val="Normal"/>
    <w:link w:val="KommentartekstTegn"/>
    <w:uiPriority w:val="99"/>
    <w:semiHidden/>
    <w:unhideWhenUsed/>
    <w:rsid w:val="00493130"/>
  </w:style>
  <w:style w:type="character" w:customStyle="1" w:styleId="KommentartekstTegn">
    <w:name w:val="Kommentartekst Tegn"/>
    <w:basedOn w:val="Standardskrifttypeiafsnit"/>
    <w:link w:val="Kommentartekst"/>
    <w:uiPriority w:val="99"/>
    <w:semiHidden/>
    <w:rsid w:val="00493130"/>
  </w:style>
  <w:style w:type="paragraph" w:styleId="Kommentaremne">
    <w:name w:val="annotation subject"/>
    <w:basedOn w:val="Kommentartekst"/>
    <w:next w:val="Kommentartekst"/>
    <w:link w:val="KommentaremneTegn"/>
    <w:uiPriority w:val="99"/>
    <w:semiHidden/>
    <w:unhideWhenUsed/>
    <w:rsid w:val="00493130"/>
    <w:rPr>
      <w:b/>
      <w:bCs/>
    </w:rPr>
  </w:style>
  <w:style w:type="character" w:customStyle="1" w:styleId="KommentaremneTegn">
    <w:name w:val="Kommentaremne Tegn"/>
    <w:link w:val="Kommentaremne"/>
    <w:uiPriority w:val="99"/>
    <w:semiHidden/>
    <w:rsid w:val="00493130"/>
    <w:rPr>
      <w:b/>
      <w:bCs/>
    </w:rPr>
  </w:style>
  <w:style w:type="paragraph" w:styleId="Fodnotetekst">
    <w:name w:val="footnote text"/>
    <w:basedOn w:val="Normal"/>
    <w:link w:val="FodnotetekstTegn"/>
    <w:uiPriority w:val="99"/>
    <w:semiHidden/>
    <w:unhideWhenUsed/>
    <w:rsid w:val="00EB4C73"/>
  </w:style>
  <w:style w:type="character" w:customStyle="1" w:styleId="FodnotetekstTegn">
    <w:name w:val="Fodnotetekst Tegn"/>
    <w:basedOn w:val="Standardskrifttypeiafsnit"/>
    <w:link w:val="Fodnotetekst"/>
    <w:uiPriority w:val="99"/>
    <w:semiHidden/>
    <w:rsid w:val="00EB4C73"/>
  </w:style>
  <w:style w:type="character" w:styleId="Fodnotehenvisning">
    <w:name w:val="footnote reference"/>
    <w:uiPriority w:val="99"/>
    <w:semiHidden/>
    <w:unhideWhenUsed/>
    <w:rsid w:val="00EB4C73"/>
    <w:rPr>
      <w:vertAlign w:val="superscript"/>
    </w:rPr>
  </w:style>
  <w:style w:type="paragraph" w:styleId="Sidehoved">
    <w:name w:val="header"/>
    <w:basedOn w:val="Normal"/>
    <w:link w:val="SidehovedTegn"/>
    <w:uiPriority w:val="99"/>
    <w:unhideWhenUsed/>
    <w:rsid w:val="00C4688D"/>
    <w:pPr>
      <w:tabs>
        <w:tab w:val="center" w:pos="4819"/>
        <w:tab w:val="right" w:pos="9638"/>
      </w:tabs>
    </w:pPr>
  </w:style>
  <w:style w:type="character" w:customStyle="1" w:styleId="SidehovedTegn">
    <w:name w:val="Sidehoved Tegn"/>
    <w:basedOn w:val="Standardskrifttypeiafsnit"/>
    <w:link w:val="Sidehoved"/>
    <w:uiPriority w:val="99"/>
    <w:rsid w:val="00C4688D"/>
  </w:style>
  <w:style w:type="paragraph" w:styleId="Sidefod">
    <w:name w:val="footer"/>
    <w:basedOn w:val="Normal"/>
    <w:link w:val="SidefodTegn"/>
    <w:uiPriority w:val="99"/>
    <w:unhideWhenUsed/>
    <w:rsid w:val="00C4688D"/>
    <w:pPr>
      <w:tabs>
        <w:tab w:val="center" w:pos="4819"/>
        <w:tab w:val="right" w:pos="9638"/>
      </w:tabs>
    </w:pPr>
  </w:style>
  <w:style w:type="character" w:customStyle="1" w:styleId="SidefodTegn">
    <w:name w:val="Sidefod Tegn"/>
    <w:basedOn w:val="Standardskrifttypeiafsnit"/>
    <w:link w:val="Sidefod"/>
    <w:uiPriority w:val="99"/>
    <w:rsid w:val="00C4688D"/>
  </w:style>
  <w:style w:type="paragraph" w:styleId="Listeafsnit">
    <w:name w:val="List Paragraph"/>
    <w:basedOn w:val="Normal"/>
    <w:uiPriority w:val="34"/>
    <w:unhideWhenUsed/>
    <w:qFormat/>
    <w:rsid w:val="001B1DCA"/>
    <w:pPr>
      <w:spacing w:line="312" w:lineRule="auto"/>
      <w:ind w:left="720"/>
      <w:contextualSpacing/>
      <w:jc w:val="both"/>
    </w:pPr>
    <w:rPr>
      <w:rFonts w:ascii="Calibri" w:eastAsiaTheme="minorHAnsi" w:hAnsi="Calibri" w:cstheme="minorBidi"/>
      <w:color w:val="333333"/>
      <w:sz w:val="21"/>
      <w:szCs w:val="24"/>
      <w:lang w:eastAsia="en-US"/>
    </w:rPr>
  </w:style>
  <w:style w:type="paragraph" w:customStyle="1" w:styleId="UnderskriftRI">
    <w:name w:val="Underskrift_RI"/>
    <w:basedOn w:val="Normal"/>
    <w:uiPriority w:val="1"/>
    <w:qFormat/>
    <w:rsid w:val="001B1DCA"/>
    <w:pPr>
      <w:keepNext/>
      <w:jc w:val="both"/>
    </w:pPr>
    <w:rPr>
      <w:rFonts w:ascii="Calibri" w:eastAsiaTheme="minorHAnsi" w:hAnsi="Calibri" w:cstheme="minorBidi"/>
      <w:color w:val="333333"/>
      <w:sz w:val="21"/>
      <w:szCs w:val="24"/>
      <w:lang w:eastAsia="en-US"/>
    </w:rPr>
  </w:style>
  <w:style w:type="paragraph" w:customStyle="1" w:styleId="Navn2RI">
    <w:name w:val="Navn2_RI"/>
    <w:basedOn w:val="Normal"/>
    <w:next w:val="Normal"/>
    <w:uiPriority w:val="1"/>
    <w:qFormat/>
    <w:rsid w:val="001B1DCA"/>
    <w:pPr>
      <w:spacing w:after="600" w:line="312" w:lineRule="auto"/>
      <w:jc w:val="both"/>
    </w:pPr>
    <w:rPr>
      <w:rFonts w:ascii="Calibri" w:eastAsiaTheme="minorHAnsi" w:hAnsi="Calibri" w:cstheme="minorBidi"/>
      <w:color w:val="333333"/>
      <w:sz w:val="21"/>
      <w:szCs w:val="24"/>
      <w:lang w:eastAsia="en-US"/>
    </w:rPr>
  </w:style>
  <w:style w:type="paragraph" w:customStyle="1" w:styleId="Navn3RI">
    <w:name w:val="Navn3_RI"/>
    <w:basedOn w:val="Normal"/>
    <w:next w:val="Normal"/>
    <w:uiPriority w:val="1"/>
    <w:qFormat/>
    <w:rsid w:val="001B1DCA"/>
    <w:pPr>
      <w:keepNext/>
      <w:jc w:val="both"/>
    </w:pPr>
    <w:rPr>
      <w:rFonts w:ascii="Calibri" w:eastAsiaTheme="minorHAnsi" w:hAnsi="Calibri" w:cstheme="minorBidi"/>
      <w:color w:val="333333"/>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Lib" ma:contentTypeID="0x01010E009D922F44FA144242BAFBD5BBA0D918110026017A60F802D34A9F4EA4BC8172278B" ma:contentTypeVersion="3" ma:contentTypeDescription="EXDocument" ma:contentTypeScope="" ma:versionID="429a9d562b1887a76699e97445877d38">
  <xsd:schema xmlns:xsd="http://www.w3.org/2001/XMLSchema" xmlns:xs="http://www.w3.org/2001/XMLSchema" xmlns:p="http://schemas.microsoft.com/office/2006/metadata/properties" xmlns:ns2="http://schemas.microsoft.com/sharepoint/v3/fields" targetNamespace="http://schemas.microsoft.com/office/2006/metadata/properties" ma:root="true" ma:fieldsID="3b3003d00d3fb680c05bf5ca3ac26dc5" ns2:_="">
    <xsd:import namespace="http://schemas.microsoft.com/sharepoint/v3/fields"/>
    <xsd:element name="properties">
      <xsd:complexType>
        <xsd:sequence>
          <xsd:element name="documentManagement">
            <xsd:complexType>
              <xsd:all>
                <xsd:element ref="ns2:EXDocumentID" minOccurs="0"/>
                <xsd:element ref="ns2:EXCoreDocType" minOccurs="0"/>
                <xsd:element ref="ns2:EXHash" minOccurs="0"/>
                <xsd:element ref="ns2:EXTimesta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XDocumentID" ma:index="9" nillable="true" ma:displayName="EXDocumentID" ma:internalName="EXDocumentID" ma:readOnly="true">
      <xsd:simpleType>
        <xsd:restriction base="dms:Text"/>
      </xsd:simpleType>
    </xsd:element>
    <xsd:element name="EXCoreDocType" ma:index="10" nillable="true" ma:displayName="EXCoreDocType" ma:internalName="EXCoreDocType" ma:readOnly="true">
      <xsd:simpleType>
        <xsd:restriction base="dms:Text"/>
      </xsd:simpleType>
    </xsd:element>
    <xsd:element name="EXHash" ma:index="11" nillable="true" ma:displayName="EXHash" ma:internalName="EXHash" ma:readOnly="true">
      <xsd:simpleType>
        <xsd:restriction base="dms:Text"/>
      </xsd:simpleType>
    </xsd:element>
    <xsd:element name="EXTimestamp" ma:index="12" nillable="true" ma:displayName="EXTimestamp" ma:internalName="EXTimestamp"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XDocumentID xmlns="http://schemas.microsoft.com/sharepoint/v3/fields">000072125</EXDocumentID>
    <EXCoreDocType xmlns="http://schemas.microsoft.com/sharepoint/v3/fields">Type1A</EXCoreDocType>
    <EXHash xmlns="http://schemas.microsoft.com/sharepoint/v3/fields">F15991EF3552A9BF007EB49E16F2E6E5B26FFBC5887A391C5841EC636F0EEBFFEEA345B86C57ED54F3389C23C1F3DAD8B0FD1973766CFFBACB4E2994BC5A</EXHash>
    <EXTimestamp xmlns="http://schemas.microsoft.com/sharepoint/v3/fields">05-12-2015 21:27:25</EXTimestam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9AFE5-5E91-4D8C-97B8-A6BBAC819D8C}">
  <ds:schemaRefs>
    <ds:schemaRef ds:uri="http://schemas.microsoft.com/sharepoint/v3/contenttype/forms"/>
  </ds:schemaRefs>
</ds:datastoreItem>
</file>

<file path=customXml/itemProps2.xml><?xml version="1.0" encoding="utf-8"?>
<ds:datastoreItem xmlns:ds="http://schemas.openxmlformats.org/officeDocument/2006/customXml" ds:itemID="{B9ED42BD-8C8B-4B79-AC0D-136DAF0F8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52492D-D643-4E59-B9F4-1A2F1DE38E83}">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F67DC8FB-6B86-4958-A539-D69E549FB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1702</Words>
  <Characters>10388</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Kommunernes Landsforening</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Lone Trudsø</dc:creator>
  <cp:lastModifiedBy>Annette Zester</cp:lastModifiedBy>
  <cp:revision>2</cp:revision>
  <cp:lastPrinted>2019-02-26T08:36:00Z</cp:lastPrinted>
  <dcterms:created xsi:type="dcterms:W3CDTF">2019-05-13T13:54:00Z</dcterms:created>
  <dcterms:modified xsi:type="dcterms:W3CDTF">2019-05-13T13:54:00Z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0x01010E009D922F44FA144242BAFBD5BBA0D918110026017A60F802D34A9F4EA4BC8172278B</vt:lpwstr>
  </property>
  <property fmtid="{D5CDD505-2E9C-101B-9397-08002B2CF9AE}" pid="3" name="EXDocumentID">
    <vt:lpwstr>000072125</vt:lpwstr>
  </property>
  <property fmtid="{D5CDD505-2E9C-101B-9397-08002B2CF9AE}" pid="4" name="dDocNo">
    <vt:lpwstr>2891.18.</vt:lpwstr>
  </property>
  <property fmtid="{D5CDD505-2E9C-101B-9397-08002B2CF9AE}" pid="5" name="EntityNameForeign">
    <vt:lpwstr>DL_Activities</vt:lpwstr>
  </property>
  <property fmtid="{D5CDD505-2E9C-101B-9397-08002B2CF9AE}" pid="6" name="EntityId">
    <vt:lpwstr>3359</vt:lpwstr>
  </property>
  <property fmtid="{D5CDD505-2E9C-101B-9397-08002B2CF9AE}" pid="7" name="DocumentName">
    <vt:lpwstr>http://spas.montes.dk/Activities/12Docs/2891/2891.16.Revideret AKUT's regnskabsskema - med OK-15-vedtægter.docx</vt:lpwstr>
  </property>
  <property fmtid="{D5CDD505-2E9C-101B-9397-08002B2CF9AE}" pid="8" name="DL_Id">
    <vt:lpwstr>3359</vt:lpwstr>
  </property>
  <property fmtid="{D5CDD505-2E9C-101B-9397-08002B2CF9AE}" pid="9" name="sOprettetAf">
    <vt:lpwstr>montes\kto-evaa</vt:lpwstr>
  </property>
  <property fmtid="{D5CDD505-2E9C-101B-9397-08002B2CF9AE}" pid="10" name="sOprettetDato">
    <vt:lpwstr>28-03-2012</vt:lpwstr>
  </property>
  <property fmtid="{D5CDD505-2E9C-101B-9397-08002B2CF9AE}" pid="11" name="sNr">
    <vt:lpwstr>2891</vt:lpwstr>
  </property>
  <property fmtid="{D5CDD505-2E9C-101B-9397-08002B2CF9AE}" pid="12" name="sTitel">
    <vt:lpwstr>AKUT-fonden - regnskabsskema</vt:lpwstr>
  </property>
  <property fmtid="{D5CDD505-2E9C-101B-9397-08002B2CF9AE}" pid="13" name="sBeskrivelse">
    <vt:lpwstr/>
  </property>
  <property fmtid="{D5CDD505-2E9C-101B-9397-08002B2CF9AE}" pid="14" name="sAnsvarligInitialer">
    <vt:lpwstr>kto-evaa</vt:lpwstr>
  </property>
  <property fmtid="{D5CDD505-2E9C-101B-9397-08002B2CF9AE}" pid="15" name="sAnsvarligNavn">
    <vt:lpwstr>Eva Agerlin</vt:lpwstr>
  </property>
  <property fmtid="{D5CDD505-2E9C-101B-9397-08002B2CF9AE}" pid="16" name="DL_CaseNo">
    <vt:lpwstr>2891</vt:lpwstr>
  </property>
  <property fmtid="{D5CDD505-2E9C-101B-9397-08002B2CF9AE}" pid="17" name="sKlassifikation">
    <vt:lpwstr>FF/DD'Ajour</vt:lpwstr>
  </property>
  <property fmtid="{D5CDD505-2E9C-101B-9397-08002B2CF9AE}" pid="18" name="sJournal">
    <vt:lpwstr>5.07.05 AKUT-bidrag og AKUT-fond samt protokollat</vt:lpwstr>
  </property>
  <property fmtid="{D5CDD505-2E9C-101B-9397-08002B2CF9AE}" pid="19" name="sLukketDato">
    <vt:lpwstr>30-08-2013</vt:lpwstr>
  </property>
</Properties>
</file>